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55" w:rsidRPr="008C3E55" w:rsidRDefault="008C3E55" w:rsidP="00EA36B3">
      <w:pPr>
        <w:jc w:val="right"/>
        <w:rPr>
          <w:szCs w:val="28"/>
        </w:rPr>
      </w:pPr>
      <w:r w:rsidRPr="008C3E55">
        <w:rPr>
          <w:szCs w:val="28"/>
        </w:rPr>
        <w:t>УДК 316.73</w:t>
      </w:r>
    </w:p>
    <w:p w:rsidR="00EA36B3" w:rsidRPr="00EA36B3" w:rsidRDefault="00EA36B3" w:rsidP="00EA36B3">
      <w:pPr>
        <w:jc w:val="center"/>
        <w:rPr>
          <w:b/>
          <w:sz w:val="28"/>
          <w:szCs w:val="28"/>
        </w:rPr>
      </w:pPr>
      <w:r w:rsidRPr="00EA36B3">
        <w:rPr>
          <w:b/>
          <w:sz w:val="28"/>
          <w:szCs w:val="28"/>
        </w:rPr>
        <w:t>Культура и устойчивое развитие: измерение взаимосвязей для конструирования стратегий будущего</w:t>
      </w:r>
    </w:p>
    <w:p w:rsidR="00EF4EB6" w:rsidRDefault="00EA36B3" w:rsidP="00EA36B3">
      <w:pPr>
        <w:jc w:val="center"/>
        <w:rPr>
          <w:rFonts w:eastAsiaTheme="minorHAnsi"/>
          <w:i/>
        </w:rPr>
      </w:pPr>
      <w:r w:rsidRPr="00EA36B3">
        <w:rPr>
          <w:i/>
          <w:szCs w:val="28"/>
        </w:rPr>
        <w:t xml:space="preserve">Е.В. Никонорова, </w:t>
      </w:r>
      <w:r w:rsidRPr="00EA36B3">
        <w:rPr>
          <w:rFonts w:eastAsiaTheme="minorHAnsi"/>
          <w:i/>
        </w:rPr>
        <w:t>д. филос. н., РАНХиГС при Президенте РФ, Российская государственная библиотека</w:t>
      </w:r>
    </w:p>
    <w:p w:rsidR="00AE14C8" w:rsidRPr="00EA36B3" w:rsidRDefault="00AE14C8" w:rsidP="00AE14C8"/>
    <w:p w:rsidR="00445EB7" w:rsidRPr="00AE14C8" w:rsidRDefault="00445EB7" w:rsidP="00EA36B3">
      <w:pPr>
        <w:rPr>
          <w:sz w:val="22"/>
          <w:szCs w:val="28"/>
          <w:lang w:eastAsia="ru-RU"/>
        </w:rPr>
      </w:pPr>
      <w:r w:rsidRPr="00AE14C8">
        <w:rPr>
          <w:sz w:val="22"/>
          <w:szCs w:val="28"/>
        </w:rPr>
        <w:t>В статье раскрываются составные элементы системы индикаторов, разработанных ЮНЕСКО для измерения связи культуры и развития, а также рассматриваются предложения, представленные при обсуждении Целей устойчивого развития на период до 2030 г</w:t>
      </w:r>
      <w:r w:rsidR="00EA36B3" w:rsidRPr="00AE14C8">
        <w:rPr>
          <w:sz w:val="22"/>
          <w:szCs w:val="28"/>
        </w:rPr>
        <w:t>.</w:t>
      </w:r>
      <w:r w:rsidRPr="00AE14C8">
        <w:rPr>
          <w:sz w:val="22"/>
          <w:szCs w:val="28"/>
        </w:rPr>
        <w:t xml:space="preserve"> </w:t>
      </w:r>
      <w:r w:rsidRPr="00AE14C8">
        <w:rPr>
          <w:rFonts w:eastAsia="Times New Roman"/>
          <w:color w:val="000000"/>
          <w:sz w:val="22"/>
          <w:szCs w:val="28"/>
          <w:lang w:eastAsia="ru-RU"/>
        </w:rPr>
        <w:t>Открытой рабочей группой, созданной ООН, и состоящей из представителей неправительственных и правительственных организаций.</w:t>
      </w:r>
      <w:r w:rsidR="0091412C" w:rsidRPr="00AE14C8">
        <w:rPr>
          <w:rFonts w:eastAsia="Times New Roman"/>
          <w:color w:val="000000"/>
          <w:sz w:val="22"/>
          <w:szCs w:val="28"/>
          <w:lang w:eastAsia="ru-RU"/>
        </w:rPr>
        <w:t xml:space="preserve"> </w:t>
      </w:r>
      <w:r w:rsidR="0091412C" w:rsidRPr="00AE14C8">
        <w:rPr>
          <w:sz w:val="22"/>
          <w:szCs w:val="28"/>
        </w:rPr>
        <w:t xml:space="preserve">Кроме того, сфокусировано внимание на основных направлениях </w:t>
      </w:r>
      <w:r w:rsidR="00F712F7" w:rsidRPr="00AE14C8">
        <w:rPr>
          <w:sz w:val="22"/>
          <w:szCs w:val="28"/>
        </w:rPr>
        <w:t>общественной активности по</w:t>
      </w:r>
      <w:r w:rsidR="0091412C" w:rsidRPr="00AE14C8">
        <w:rPr>
          <w:sz w:val="22"/>
          <w:szCs w:val="28"/>
        </w:rPr>
        <w:t xml:space="preserve"> разработк</w:t>
      </w:r>
      <w:r w:rsidR="00F712F7" w:rsidRPr="00AE14C8">
        <w:rPr>
          <w:sz w:val="22"/>
          <w:szCs w:val="28"/>
        </w:rPr>
        <w:t>е</w:t>
      </w:r>
      <w:r w:rsidR="0091412C" w:rsidRPr="00AE14C8">
        <w:rPr>
          <w:sz w:val="22"/>
          <w:szCs w:val="28"/>
        </w:rPr>
        <w:t xml:space="preserve"> индикаторов для оценки воздействия культуры на устойчивое развитие</w:t>
      </w:r>
      <w:r w:rsidR="00F712F7" w:rsidRPr="00AE14C8">
        <w:rPr>
          <w:sz w:val="22"/>
          <w:szCs w:val="28"/>
        </w:rPr>
        <w:t>,</w:t>
      </w:r>
      <w:r w:rsidR="0091412C" w:rsidRPr="00AE14C8">
        <w:rPr>
          <w:sz w:val="22"/>
          <w:szCs w:val="28"/>
        </w:rPr>
        <w:t xml:space="preserve"> позволяющих осуществлять на территориях мониторинг культурных процессов и изменений. Зафиксирована </w:t>
      </w:r>
      <w:r w:rsidR="00F712F7" w:rsidRPr="00AE14C8">
        <w:rPr>
          <w:sz w:val="22"/>
          <w:szCs w:val="28"/>
        </w:rPr>
        <w:t xml:space="preserve">активная </w:t>
      </w:r>
      <w:r w:rsidR="0091412C" w:rsidRPr="00AE14C8">
        <w:rPr>
          <w:sz w:val="22"/>
          <w:szCs w:val="28"/>
        </w:rPr>
        <w:t xml:space="preserve">роль Международной федерации библиотечных ассоциаций и </w:t>
      </w:r>
      <w:r w:rsidR="00F712F7" w:rsidRPr="00AE14C8">
        <w:rPr>
          <w:sz w:val="22"/>
          <w:szCs w:val="28"/>
        </w:rPr>
        <w:t>институтов</w:t>
      </w:r>
      <w:r w:rsidR="0091412C" w:rsidRPr="00AE14C8">
        <w:rPr>
          <w:sz w:val="22"/>
          <w:szCs w:val="28"/>
        </w:rPr>
        <w:t xml:space="preserve"> (ИФЛА)</w:t>
      </w:r>
      <w:r w:rsidR="00F712F7" w:rsidRPr="00AE14C8">
        <w:rPr>
          <w:sz w:val="22"/>
          <w:szCs w:val="28"/>
          <w:lang w:eastAsia="ru-RU"/>
        </w:rPr>
        <w:t xml:space="preserve"> в распространении этих идей и в поддержке библиотеками роли культуры в устойчивом развитии.</w:t>
      </w:r>
    </w:p>
    <w:p w:rsidR="00102D4F" w:rsidRPr="00AE14C8" w:rsidRDefault="00102D4F" w:rsidP="00EA36B3">
      <w:pPr>
        <w:rPr>
          <w:sz w:val="22"/>
          <w:szCs w:val="28"/>
        </w:rPr>
      </w:pPr>
      <w:r w:rsidRPr="00AE14C8">
        <w:rPr>
          <w:i/>
          <w:sz w:val="22"/>
          <w:szCs w:val="28"/>
        </w:rPr>
        <w:t xml:space="preserve">Ключевые слова: </w:t>
      </w:r>
      <w:r w:rsidRPr="00AE14C8">
        <w:rPr>
          <w:sz w:val="22"/>
          <w:szCs w:val="28"/>
        </w:rPr>
        <w:t>культура, устойчивое развитие, индикаторы измерения культуры и развития, стратегии будущего развития,</w:t>
      </w:r>
      <w:r w:rsidR="007873A9" w:rsidRPr="00AE14C8">
        <w:rPr>
          <w:sz w:val="22"/>
          <w:szCs w:val="28"/>
        </w:rPr>
        <w:t xml:space="preserve"> </w:t>
      </w:r>
      <w:r w:rsidRPr="00AE14C8">
        <w:rPr>
          <w:sz w:val="22"/>
          <w:szCs w:val="28"/>
        </w:rPr>
        <w:t>оценка культурного воздействия, природный капитал, культурный капитал,</w:t>
      </w:r>
      <w:r w:rsidR="0096201D" w:rsidRPr="00AE14C8">
        <w:rPr>
          <w:sz w:val="22"/>
          <w:szCs w:val="28"/>
        </w:rPr>
        <w:t xml:space="preserve"> человеческий капитал, </w:t>
      </w:r>
      <w:r w:rsidRPr="00AE14C8">
        <w:rPr>
          <w:sz w:val="22"/>
          <w:szCs w:val="28"/>
        </w:rPr>
        <w:t>новые практики измерения, постнеклассическая наука.</w:t>
      </w:r>
    </w:p>
    <w:p w:rsidR="00776AA3" w:rsidRPr="00EF4EB6" w:rsidRDefault="00776AA3" w:rsidP="00EA36B3">
      <w:pPr>
        <w:rPr>
          <w:rFonts w:eastAsia="Times New Roman"/>
          <w:color w:val="000000"/>
          <w:szCs w:val="28"/>
          <w:lang w:eastAsia="ru-RU"/>
        </w:rPr>
      </w:pPr>
    </w:p>
    <w:p w:rsidR="00EA36B3" w:rsidRPr="00AE14C8" w:rsidRDefault="00EA36B3" w:rsidP="00EA36B3">
      <w:pPr>
        <w:rPr>
          <w:szCs w:val="28"/>
        </w:rPr>
      </w:pPr>
      <w:r w:rsidRPr="00EA36B3">
        <w:rPr>
          <w:szCs w:val="28"/>
        </w:rPr>
        <w:t>Проблема взаимосвязи культуры, природы и устойчивого развития приобретает особую остроту в начале третьего тысячелетия. Поскольку социоприродная система представляет собой сложную человекоразмерную систему, то и дальнейшее развитие этой системы будет происходить под влиянием антропогенной деятельности, а роль культуры как мощной двигательной силы устойчивого развития будет возрастать.</w:t>
      </w:r>
      <w:r>
        <w:rPr>
          <w:szCs w:val="28"/>
        </w:rPr>
        <w:t xml:space="preserve"> </w:t>
      </w:r>
      <w:r w:rsidRPr="00EA36B3">
        <w:rPr>
          <w:szCs w:val="28"/>
        </w:rPr>
        <w:t xml:space="preserve">Важнейший вопрос современной культурной политики заключается в эффективном управлении этим процессом, а одним из фокусов приложения сил мирового интеллектуального сообщества является решение проблемы </w:t>
      </w:r>
      <w:r w:rsidRPr="00AE14C8">
        <w:rPr>
          <w:szCs w:val="28"/>
        </w:rPr>
        <w:t>измерения роли культуры в устойчивом развитии, конструировании соответствующих стратегий будущего.</w:t>
      </w:r>
    </w:p>
    <w:p w:rsidR="00576AE7" w:rsidRPr="00EF4EB6" w:rsidRDefault="0034047B" w:rsidP="00EA36B3">
      <w:pPr>
        <w:rPr>
          <w:rFonts w:eastAsia="Times New Roman"/>
          <w:color w:val="000000"/>
          <w:szCs w:val="28"/>
          <w:lang w:eastAsia="ru-RU"/>
        </w:rPr>
      </w:pPr>
      <w:r w:rsidRPr="00EF4EB6">
        <w:rPr>
          <w:rFonts w:eastAsia="Times New Roman"/>
          <w:color w:val="000000"/>
          <w:szCs w:val="28"/>
          <w:lang w:eastAsia="ru-RU"/>
        </w:rPr>
        <w:t>Цель статьи заключается в том, чтобы ознакомить исследователей и специалистов с теми наработками и практиками, которые предшествовали Нью-Йоркскому саммиту по устойчивому развитию 2015 г</w:t>
      </w:r>
      <w:r w:rsidR="00AE14C8">
        <w:rPr>
          <w:rFonts w:eastAsia="Times New Roman"/>
          <w:color w:val="000000"/>
          <w:szCs w:val="28"/>
          <w:lang w:eastAsia="ru-RU"/>
        </w:rPr>
        <w:t>.</w:t>
      </w:r>
      <w:r w:rsidRPr="00EF4EB6">
        <w:rPr>
          <w:rFonts w:eastAsia="Times New Roman"/>
          <w:color w:val="000000"/>
          <w:szCs w:val="28"/>
          <w:lang w:eastAsia="ru-RU"/>
        </w:rPr>
        <w:t>, принятию его основных документов, в том числе и коррекции целей устойчивого развити</w:t>
      </w:r>
      <w:r w:rsidR="00576AE7" w:rsidRPr="00EF4EB6">
        <w:rPr>
          <w:rFonts w:eastAsia="Times New Roman"/>
          <w:color w:val="000000"/>
          <w:szCs w:val="28"/>
          <w:lang w:eastAsia="ru-RU"/>
        </w:rPr>
        <w:t>я</w:t>
      </w:r>
      <w:r w:rsidRPr="00EF4EB6">
        <w:rPr>
          <w:rFonts w:eastAsia="Times New Roman"/>
          <w:color w:val="000000"/>
          <w:szCs w:val="28"/>
          <w:lang w:eastAsia="ru-RU"/>
        </w:rPr>
        <w:t xml:space="preserve">. </w:t>
      </w:r>
      <w:r w:rsidR="00576AE7" w:rsidRPr="00EF4EB6">
        <w:rPr>
          <w:rFonts w:eastAsia="Times New Roman"/>
          <w:color w:val="000000"/>
          <w:szCs w:val="28"/>
          <w:lang w:eastAsia="ru-RU"/>
        </w:rPr>
        <w:t>Значительная роль для активизации деятельности институтов и организаций гражданского общества в этом направлении принадлежит Международной конференции по окружающей среде и развитию, прошедшей в 2012 г</w:t>
      </w:r>
      <w:r w:rsidR="00AE14C8">
        <w:rPr>
          <w:rFonts w:eastAsia="Times New Roman"/>
          <w:color w:val="000000"/>
          <w:szCs w:val="28"/>
          <w:lang w:eastAsia="ru-RU"/>
        </w:rPr>
        <w:t>.</w:t>
      </w:r>
      <w:r w:rsidR="00576AE7" w:rsidRPr="00EF4EB6">
        <w:rPr>
          <w:rFonts w:eastAsia="Times New Roman"/>
          <w:color w:val="000000"/>
          <w:szCs w:val="28"/>
          <w:lang w:eastAsia="ru-RU"/>
        </w:rPr>
        <w:t xml:space="preserve"> в Рио-де-Жанейро (РИО+20). </w:t>
      </w:r>
    </w:p>
    <w:p w:rsidR="00576AE7" w:rsidRPr="00EF4EB6" w:rsidRDefault="00576AE7" w:rsidP="00EA36B3">
      <w:pPr>
        <w:rPr>
          <w:rFonts w:eastAsia="Times New Roman"/>
          <w:color w:val="000000"/>
          <w:szCs w:val="28"/>
          <w:lang w:eastAsia="ru-RU"/>
        </w:rPr>
      </w:pPr>
      <w:r w:rsidRPr="00EF4EB6">
        <w:rPr>
          <w:rFonts w:eastAsia="Times New Roman"/>
          <w:color w:val="000000"/>
          <w:szCs w:val="28"/>
          <w:lang w:eastAsia="ru-RU"/>
        </w:rPr>
        <w:t>В целом блок идей, связывающих культуру и устойчивое развитие, стал необычайно популярен в начале третьего тысячелетия и сконцентрировал</w:t>
      </w:r>
      <w:r w:rsidR="00EF4EB6">
        <w:rPr>
          <w:rFonts w:eastAsia="Times New Roman"/>
          <w:color w:val="000000"/>
          <w:szCs w:val="28"/>
          <w:lang w:eastAsia="ru-RU"/>
        </w:rPr>
        <w:t xml:space="preserve"> </w:t>
      </w:r>
      <w:r w:rsidRPr="00EF4EB6">
        <w:rPr>
          <w:rFonts w:eastAsia="Times New Roman"/>
          <w:color w:val="000000"/>
          <w:szCs w:val="28"/>
          <w:lang w:eastAsia="ru-RU"/>
        </w:rPr>
        <w:t>множество проблем, которые являются отражением культурного разнообразия, разнообразия образов жизни и культурных практик взаимодействия</w:t>
      </w:r>
      <w:r w:rsidR="00EF4EB6">
        <w:rPr>
          <w:rFonts w:eastAsia="Times New Roman"/>
          <w:color w:val="000000"/>
          <w:szCs w:val="28"/>
          <w:lang w:eastAsia="ru-RU"/>
        </w:rPr>
        <w:t xml:space="preserve"> </w:t>
      </w:r>
      <w:r w:rsidRPr="00EF4EB6">
        <w:rPr>
          <w:rFonts w:eastAsia="Times New Roman"/>
          <w:color w:val="000000"/>
          <w:szCs w:val="28"/>
          <w:lang w:eastAsia="ru-RU"/>
        </w:rPr>
        <w:t>человечества с окружающей средой.</w:t>
      </w:r>
    </w:p>
    <w:p w:rsidR="00E610B5" w:rsidRPr="00EF4EB6" w:rsidRDefault="00E610B5" w:rsidP="00EA36B3">
      <w:pPr>
        <w:rPr>
          <w:rFonts w:eastAsia="Times New Roman"/>
          <w:color w:val="000000"/>
          <w:szCs w:val="28"/>
          <w:lang w:eastAsia="ru-RU"/>
        </w:rPr>
      </w:pPr>
      <w:r w:rsidRPr="00EF4EB6">
        <w:rPr>
          <w:rFonts w:eastAsia="Times New Roman"/>
          <w:color w:val="000000"/>
          <w:szCs w:val="28"/>
          <w:lang w:eastAsia="ru-RU"/>
        </w:rPr>
        <w:t>Вместе с тем, управление этими процессами требует разработки индикаторов и критериев воздействия культуры на устойчивое</w:t>
      </w:r>
      <w:r w:rsidR="00EF4EB6">
        <w:rPr>
          <w:rFonts w:eastAsia="Times New Roman"/>
          <w:color w:val="000000"/>
          <w:szCs w:val="28"/>
          <w:lang w:eastAsia="ru-RU"/>
        </w:rPr>
        <w:t xml:space="preserve"> </w:t>
      </w:r>
      <w:r w:rsidRPr="00EF4EB6">
        <w:rPr>
          <w:rFonts w:eastAsia="Times New Roman"/>
          <w:color w:val="000000"/>
          <w:szCs w:val="28"/>
          <w:lang w:eastAsia="ru-RU"/>
        </w:rPr>
        <w:t xml:space="preserve">развитие, понимания их взаимосвязи для более четких определений целей, эффективной практической деятельности, формирования стратегий и политик </w:t>
      </w:r>
      <w:r w:rsidR="008E23C9" w:rsidRPr="00EF4EB6">
        <w:rPr>
          <w:rFonts w:eastAsia="Times New Roman"/>
          <w:color w:val="000000"/>
          <w:szCs w:val="28"/>
          <w:lang w:eastAsia="ru-RU"/>
        </w:rPr>
        <w:t>всех уровней</w:t>
      </w:r>
      <w:r w:rsidRPr="00EF4EB6">
        <w:rPr>
          <w:rFonts w:eastAsia="Times New Roman"/>
          <w:color w:val="000000"/>
          <w:szCs w:val="28"/>
          <w:lang w:eastAsia="ru-RU"/>
        </w:rPr>
        <w:t xml:space="preserve"> для справедливого устойчивого развития человечества.</w:t>
      </w:r>
    </w:p>
    <w:p w:rsidR="00883627" w:rsidRPr="00EF4EB6" w:rsidRDefault="00E610B5" w:rsidP="00EA36B3">
      <w:pPr>
        <w:rPr>
          <w:rFonts w:eastAsia="Times New Roman"/>
          <w:color w:val="000000"/>
          <w:szCs w:val="28"/>
          <w:lang w:eastAsia="ru-RU"/>
        </w:rPr>
      </w:pPr>
      <w:r w:rsidRPr="00EF4EB6">
        <w:rPr>
          <w:rFonts w:eastAsia="Times New Roman"/>
          <w:color w:val="000000"/>
          <w:szCs w:val="28"/>
          <w:lang w:eastAsia="ru-RU"/>
        </w:rPr>
        <w:t>С целью</w:t>
      </w:r>
      <w:r w:rsidR="00883627" w:rsidRPr="00EF4EB6">
        <w:rPr>
          <w:rFonts w:eastAsia="Times New Roman"/>
          <w:color w:val="000000"/>
          <w:szCs w:val="28"/>
          <w:lang w:eastAsia="ru-RU"/>
        </w:rPr>
        <w:t xml:space="preserve"> измерения роли </w:t>
      </w:r>
      <w:r w:rsidR="00883627" w:rsidRPr="00AE14C8">
        <w:rPr>
          <w:rFonts w:eastAsia="Times New Roman"/>
          <w:color w:val="000000"/>
          <w:szCs w:val="28"/>
          <w:lang w:eastAsia="ru-RU"/>
        </w:rPr>
        <w:t xml:space="preserve">культуры в </w:t>
      </w:r>
      <w:r w:rsidR="00AE14C8">
        <w:rPr>
          <w:rFonts w:eastAsia="Times New Roman"/>
          <w:color w:val="000000"/>
          <w:szCs w:val="28"/>
          <w:lang w:eastAsia="ru-RU"/>
        </w:rPr>
        <w:t xml:space="preserve">устойчивом </w:t>
      </w:r>
      <w:r w:rsidR="00883627" w:rsidRPr="00AE14C8">
        <w:rPr>
          <w:rFonts w:eastAsia="Times New Roman"/>
          <w:color w:val="000000"/>
          <w:szCs w:val="28"/>
          <w:lang w:eastAsia="ru-RU"/>
        </w:rPr>
        <w:t xml:space="preserve">развитии </w:t>
      </w:r>
      <w:r w:rsidR="00883627" w:rsidRPr="00EF4EB6">
        <w:rPr>
          <w:rFonts w:eastAsia="Times New Roman"/>
          <w:color w:val="000000"/>
          <w:szCs w:val="28"/>
          <w:lang w:eastAsia="ru-RU"/>
        </w:rPr>
        <w:t>институтами статистики ЮНЕСКО разработана система индикаторов необходимых для измерения связи культуры и развития</w:t>
      </w:r>
      <w:r w:rsidR="00AE14C8">
        <w:rPr>
          <w:rFonts w:eastAsia="Times New Roman"/>
          <w:color w:val="000000"/>
          <w:szCs w:val="28"/>
          <w:lang w:eastAsia="ru-RU"/>
        </w:rPr>
        <w:t xml:space="preserve"> –</w:t>
      </w:r>
      <w:r w:rsidR="00EF4EB6">
        <w:rPr>
          <w:rFonts w:eastAsia="Times New Roman"/>
          <w:color w:val="000000"/>
          <w:szCs w:val="28"/>
          <w:lang w:eastAsia="ru-RU"/>
        </w:rPr>
        <w:t xml:space="preserve"> </w:t>
      </w:r>
      <w:r w:rsidR="00883627" w:rsidRPr="00EF4EB6">
        <w:rPr>
          <w:rFonts w:eastAsia="Times New Roman"/>
          <w:color w:val="000000"/>
          <w:szCs w:val="28"/>
          <w:lang w:val="en-US" w:eastAsia="ru-RU"/>
        </w:rPr>
        <w:t>Culture</w:t>
      </w:r>
      <w:r w:rsidR="00883627" w:rsidRPr="00EF4EB6">
        <w:rPr>
          <w:rFonts w:eastAsia="Times New Roman"/>
          <w:color w:val="000000"/>
          <w:szCs w:val="28"/>
          <w:lang w:eastAsia="ru-RU"/>
        </w:rPr>
        <w:t xml:space="preserve"> </w:t>
      </w:r>
      <w:r w:rsidR="00883627" w:rsidRPr="00EF4EB6">
        <w:rPr>
          <w:rFonts w:eastAsia="Times New Roman"/>
          <w:color w:val="000000"/>
          <w:szCs w:val="28"/>
          <w:lang w:val="en-US" w:eastAsia="ru-RU"/>
        </w:rPr>
        <w:t>for</w:t>
      </w:r>
      <w:r w:rsidR="00883627" w:rsidRPr="00EF4EB6">
        <w:rPr>
          <w:rFonts w:eastAsia="Times New Roman"/>
          <w:color w:val="000000"/>
          <w:szCs w:val="28"/>
          <w:lang w:eastAsia="ru-RU"/>
        </w:rPr>
        <w:t xml:space="preserve"> </w:t>
      </w:r>
      <w:r w:rsidR="00883627" w:rsidRPr="00EF4EB6">
        <w:rPr>
          <w:rFonts w:eastAsia="Times New Roman"/>
          <w:color w:val="000000"/>
          <w:szCs w:val="28"/>
          <w:lang w:val="en-US" w:eastAsia="ru-RU"/>
        </w:rPr>
        <w:t>Development</w:t>
      </w:r>
      <w:r w:rsidR="00883627" w:rsidRPr="00EF4EB6">
        <w:rPr>
          <w:rFonts w:eastAsia="Times New Roman"/>
          <w:color w:val="000000"/>
          <w:szCs w:val="28"/>
          <w:lang w:eastAsia="ru-RU"/>
        </w:rPr>
        <w:t xml:space="preserve"> </w:t>
      </w:r>
      <w:r w:rsidR="00883627" w:rsidRPr="00EF4EB6">
        <w:rPr>
          <w:rFonts w:eastAsia="Times New Roman"/>
          <w:color w:val="000000"/>
          <w:szCs w:val="28"/>
          <w:lang w:val="en-US" w:eastAsia="ru-RU"/>
        </w:rPr>
        <w:t>Indicators</w:t>
      </w:r>
      <w:r w:rsidR="00883627" w:rsidRPr="00EF4EB6">
        <w:rPr>
          <w:rFonts w:eastAsia="Times New Roman"/>
          <w:color w:val="000000"/>
          <w:szCs w:val="28"/>
          <w:lang w:eastAsia="ru-RU"/>
        </w:rPr>
        <w:t xml:space="preserve"> (</w:t>
      </w:r>
      <w:r w:rsidR="00883627" w:rsidRPr="00EF4EB6">
        <w:rPr>
          <w:rFonts w:eastAsia="Times New Roman"/>
          <w:color w:val="000000"/>
          <w:szCs w:val="28"/>
          <w:lang w:val="en-US" w:eastAsia="ru-RU"/>
        </w:rPr>
        <w:t>CDIS</w:t>
      </w:r>
      <w:r w:rsidR="00883627" w:rsidRPr="00EF4EB6">
        <w:rPr>
          <w:rFonts w:eastAsia="Times New Roman"/>
          <w:color w:val="000000"/>
          <w:szCs w:val="28"/>
          <w:lang w:eastAsia="ru-RU"/>
        </w:rPr>
        <w:t>). Эта система включает семь основных аспектов (измерений) связи культуры и развития: экономический, образовательный, управленческий, коммуникативный, измерения социального участия, гендерного равенства, культурного наследия. Каждый аспект (измерение) имеет свои индикаторы</w:t>
      </w:r>
      <w:r w:rsidR="00AE14C8">
        <w:rPr>
          <w:rFonts w:eastAsia="Times New Roman"/>
          <w:color w:val="000000"/>
          <w:szCs w:val="28"/>
          <w:lang w:eastAsia="ru-RU"/>
        </w:rPr>
        <w:t xml:space="preserve"> – </w:t>
      </w:r>
      <w:r w:rsidR="00883627" w:rsidRPr="00EF4EB6">
        <w:rPr>
          <w:rFonts w:eastAsia="Times New Roman"/>
          <w:color w:val="000000"/>
          <w:szCs w:val="28"/>
          <w:lang w:eastAsia="ru-RU"/>
        </w:rPr>
        <w:t>всего</w:t>
      </w:r>
      <w:r w:rsidR="00AE14C8">
        <w:rPr>
          <w:rFonts w:eastAsia="Times New Roman"/>
          <w:color w:val="000000"/>
          <w:szCs w:val="28"/>
          <w:lang w:eastAsia="ru-RU"/>
        </w:rPr>
        <w:t xml:space="preserve"> –</w:t>
      </w:r>
      <w:r w:rsidR="00EF4EB6">
        <w:rPr>
          <w:rFonts w:eastAsia="Times New Roman"/>
          <w:color w:val="000000"/>
          <w:szCs w:val="28"/>
          <w:lang w:eastAsia="ru-RU"/>
        </w:rPr>
        <w:t xml:space="preserve"> </w:t>
      </w:r>
      <w:r w:rsidR="00883627" w:rsidRPr="00EF4EB6">
        <w:rPr>
          <w:rFonts w:eastAsia="Times New Roman"/>
          <w:color w:val="000000"/>
          <w:szCs w:val="28"/>
          <w:lang w:eastAsia="ru-RU"/>
        </w:rPr>
        <w:t>22</w:t>
      </w:r>
      <w:r w:rsidR="00AE14C8">
        <w:rPr>
          <w:rFonts w:eastAsia="Times New Roman"/>
          <w:color w:val="000000"/>
          <w:szCs w:val="28"/>
          <w:lang w:eastAsia="ru-RU"/>
        </w:rPr>
        <w:t xml:space="preserve"> </w:t>
      </w:r>
      <w:r w:rsidR="00883627" w:rsidRPr="00EF4EB6">
        <w:rPr>
          <w:rFonts w:eastAsia="Times New Roman"/>
          <w:color w:val="000000"/>
          <w:szCs w:val="28"/>
          <w:lang w:eastAsia="ru-RU"/>
        </w:rPr>
        <w:t>(</w:t>
      </w:r>
      <w:r w:rsidR="00883627" w:rsidRPr="00AE14C8">
        <w:rPr>
          <w:rFonts w:eastAsia="Times New Roman"/>
          <w:i/>
          <w:color w:val="000000"/>
          <w:szCs w:val="28"/>
          <w:lang w:eastAsia="ru-RU"/>
        </w:rPr>
        <w:t>табл</w:t>
      </w:r>
      <w:r w:rsidR="00AE14C8" w:rsidRPr="00AE14C8">
        <w:rPr>
          <w:rFonts w:eastAsia="Times New Roman"/>
          <w:i/>
          <w:color w:val="000000"/>
          <w:szCs w:val="28"/>
          <w:lang w:eastAsia="ru-RU"/>
        </w:rPr>
        <w:t>.</w:t>
      </w:r>
      <w:r w:rsidR="00883627" w:rsidRPr="00AE14C8">
        <w:rPr>
          <w:rFonts w:eastAsia="Times New Roman"/>
          <w:i/>
          <w:color w:val="000000"/>
          <w:szCs w:val="28"/>
          <w:lang w:eastAsia="ru-RU"/>
        </w:rPr>
        <w:t xml:space="preserve"> 1</w:t>
      </w:r>
      <w:r w:rsidR="00883627" w:rsidRPr="00EF4EB6">
        <w:rPr>
          <w:rFonts w:eastAsia="Times New Roman"/>
          <w:color w:val="000000"/>
          <w:szCs w:val="28"/>
          <w:lang w:eastAsia="ru-RU"/>
        </w:rPr>
        <w:t>), а каждый индикатор</w:t>
      </w:r>
      <w:r w:rsidR="00AE14C8">
        <w:rPr>
          <w:rFonts w:eastAsia="Times New Roman"/>
          <w:color w:val="000000"/>
          <w:szCs w:val="28"/>
          <w:lang w:eastAsia="ru-RU"/>
        </w:rPr>
        <w:t xml:space="preserve"> –</w:t>
      </w:r>
      <w:r w:rsidR="00EF4EB6">
        <w:rPr>
          <w:rFonts w:eastAsia="Times New Roman"/>
          <w:color w:val="000000"/>
          <w:szCs w:val="28"/>
          <w:lang w:eastAsia="ru-RU"/>
        </w:rPr>
        <w:t xml:space="preserve"> </w:t>
      </w:r>
      <w:r w:rsidR="00883627" w:rsidRPr="00EF4EB6">
        <w:rPr>
          <w:rFonts w:eastAsia="Times New Roman"/>
          <w:color w:val="000000"/>
          <w:szCs w:val="28"/>
          <w:lang w:eastAsia="ru-RU"/>
        </w:rPr>
        <w:t>свое описание.</w:t>
      </w:r>
    </w:p>
    <w:p w:rsidR="00883627" w:rsidRDefault="001E7F72" w:rsidP="00AE14C8">
      <w:pPr>
        <w:jc w:val="righ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Т</w:t>
      </w:r>
      <w:r w:rsidR="00AE14C8">
        <w:rPr>
          <w:rFonts w:eastAsia="Times New Roman"/>
          <w:color w:val="000000"/>
          <w:szCs w:val="28"/>
          <w:lang w:eastAsia="ru-RU"/>
        </w:rPr>
        <w:t>аблица 1</w:t>
      </w:r>
    </w:p>
    <w:p w:rsidR="00AE14C8" w:rsidRPr="00AE14C8" w:rsidRDefault="00AE14C8" w:rsidP="00AE14C8">
      <w:pPr>
        <w:jc w:val="center"/>
        <w:rPr>
          <w:rFonts w:eastAsia="Times New Roman"/>
          <w:b/>
          <w:i/>
          <w:color w:val="000000"/>
          <w:szCs w:val="28"/>
          <w:lang w:eastAsia="ru-RU"/>
        </w:rPr>
      </w:pPr>
      <w:r w:rsidRPr="00AE14C8">
        <w:rPr>
          <w:rFonts w:eastAsia="Times New Roman"/>
          <w:b/>
          <w:i/>
          <w:color w:val="000000"/>
          <w:szCs w:val="28"/>
          <w:lang w:eastAsia="ru-RU"/>
        </w:rPr>
        <w:lastRenderedPageBreak/>
        <w:t>Система индикаторов, необходимых для измерения связи культуры и устойчивого развития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2518"/>
        <w:gridCol w:w="7088"/>
      </w:tblGrid>
      <w:tr w:rsidR="00883627" w:rsidRPr="00AE14C8" w:rsidTr="00904462">
        <w:tc>
          <w:tcPr>
            <w:tcW w:w="2518" w:type="dxa"/>
            <w:shd w:val="clear" w:color="auto" w:fill="FFFFFF" w:themeFill="background1"/>
          </w:tcPr>
          <w:p w:rsidR="00883627" w:rsidRPr="00AE14C8" w:rsidRDefault="00883627" w:rsidP="00AE14C8">
            <w:pPr>
              <w:ind w:firstLine="0"/>
              <w:jc w:val="center"/>
              <w:rPr>
                <w:i/>
                <w:lang w:eastAsia="ru-RU"/>
              </w:rPr>
            </w:pPr>
            <w:r w:rsidRPr="00AE14C8">
              <w:rPr>
                <w:i/>
                <w:sz w:val="22"/>
                <w:lang w:eastAsia="ru-RU"/>
              </w:rPr>
              <w:t>Измерени</w:t>
            </w:r>
            <w:r w:rsidR="00AE14C8">
              <w:rPr>
                <w:i/>
                <w:sz w:val="22"/>
                <w:lang w:eastAsia="ru-RU"/>
              </w:rPr>
              <w:t>е</w:t>
            </w:r>
          </w:p>
        </w:tc>
        <w:tc>
          <w:tcPr>
            <w:tcW w:w="7088" w:type="dxa"/>
            <w:shd w:val="clear" w:color="auto" w:fill="FFFFFF" w:themeFill="background1"/>
          </w:tcPr>
          <w:p w:rsidR="00883627" w:rsidRPr="00AE14C8" w:rsidRDefault="00883627" w:rsidP="00AE14C8">
            <w:pPr>
              <w:ind w:firstLine="0"/>
              <w:jc w:val="center"/>
              <w:rPr>
                <w:i/>
                <w:lang w:eastAsia="ru-RU"/>
              </w:rPr>
            </w:pPr>
            <w:r w:rsidRPr="00AE14C8">
              <w:rPr>
                <w:i/>
                <w:sz w:val="22"/>
                <w:lang w:eastAsia="ru-RU"/>
              </w:rPr>
              <w:t>Индикатор</w:t>
            </w:r>
          </w:p>
        </w:tc>
      </w:tr>
      <w:tr w:rsidR="00883627" w:rsidRPr="00AE14C8" w:rsidTr="00904462">
        <w:tc>
          <w:tcPr>
            <w:tcW w:w="2518" w:type="dxa"/>
            <w:shd w:val="clear" w:color="auto" w:fill="FFFFFF" w:themeFill="background1"/>
          </w:tcPr>
          <w:p w:rsidR="00883627" w:rsidRPr="00AE14C8" w:rsidRDefault="00883627" w:rsidP="00AE14C8">
            <w:pPr>
              <w:ind w:firstLine="0"/>
              <w:rPr>
                <w:lang w:eastAsia="ru-RU"/>
              </w:rPr>
            </w:pPr>
            <w:r w:rsidRPr="00AE14C8">
              <w:rPr>
                <w:sz w:val="22"/>
                <w:lang w:eastAsia="ru-RU"/>
              </w:rPr>
              <w:t>Экономическое</w:t>
            </w:r>
          </w:p>
        </w:tc>
        <w:tc>
          <w:tcPr>
            <w:tcW w:w="7088" w:type="dxa"/>
            <w:shd w:val="clear" w:color="auto" w:fill="FFFFFF" w:themeFill="background1"/>
          </w:tcPr>
          <w:p w:rsidR="00883627" w:rsidRPr="00AE14C8" w:rsidRDefault="00AE14C8" w:rsidP="00AE14C8">
            <w:pPr>
              <w:ind w:firstLine="0"/>
              <w:rPr>
                <w:lang w:eastAsia="ru-RU"/>
              </w:rPr>
            </w:pPr>
            <w:r w:rsidRPr="00AE14C8">
              <w:rPr>
                <w:sz w:val="22"/>
                <w:lang w:eastAsia="ru-RU"/>
              </w:rPr>
              <w:t xml:space="preserve">Вклад </w:t>
            </w:r>
            <w:r w:rsidR="00883627" w:rsidRPr="00AE14C8">
              <w:rPr>
                <w:sz w:val="22"/>
                <w:lang w:eastAsia="ru-RU"/>
              </w:rPr>
              <w:t>культурной деятельности в ВВП</w:t>
            </w:r>
          </w:p>
          <w:p w:rsidR="00883627" w:rsidRPr="00AE14C8" w:rsidRDefault="00AE14C8" w:rsidP="00AE14C8">
            <w:pPr>
              <w:ind w:firstLine="0"/>
              <w:rPr>
                <w:lang w:eastAsia="ru-RU"/>
              </w:rPr>
            </w:pPr>
            <w:r w:rsidRPr="00AE14C8">
              <w:rPr>
                <w:sz w:val="22"/>
                <w:lang w:eastAsia="ru-RU"/>
              </w:rPr>
              <w:t xml:space="preserve">Занятость </w:t>
            </w:r>
            <w:r w:rsidR="00883627" w:rsidRPr="00AE14C8">
              <w:rPr>
                <w:sz w:val="22"/>
                <w:lang w:eastAsia="ru-RU"/>
              </w:rPr>
              <w:t>в сфере культуры</w:t>
            </w:r>
          </w:p>
          <w:p w:rsidR="00883627" w:rsidRPr="00AE14C8" w:rsidRDefault="00AE14C8" w:rsidP="00AE14C8">
            <w:pPr>
              <w:ind w:firstLine="0"/>
              <w:rPr>
                <w:lang w:eastAsia="ru-RU"/>
              </w:rPr>
            </w:pPr>
            <w:r w:rsidRPr="00AE14C8">
              <w:rPr>
                <w:sz w:val="22"/>
                <w:lang w:eastAsia="ru-RU"/>
              </w:rPr>
              <w:t xml:space="preserve">Расходы </w:t>
            </w:r>
            <w:r w:rsidR="00883627" w:rsidRPr="00AE14C8">
              <w:rPr>
                <w:sz w:val="22"/>
                <w:lang w:eastAsia="ru-RU"/>
              </w:rPr>
              <w:t>домохозяйств на культуры</w:t>
            </w:r>
          </w:p>
        </w:tc>
      </w:tr>
      <w:tr w:rsidR="00883627" w:rsidRPr="00AE14C8" w:rsidTr="00904462">
        <w:tc>
          <w:tcPr>
            <w:tcW w:w="2518" w:type="dxa"/>
            <w:shd w:val="clear" w:color="auto" w:fill="FFFFFF" w:themeFill="background1"/>
          </w:tcPr>
          <w:p w:rsidR="00883627" w:rsidRPr="00AE14C8" w:rsidRDefault="00883627" w:rsidP="00AE14C8">
            <w:pPr>
              <w:ind w:firstLine="0"/>
              <w:rPr>
                <w:lang w:eastAsia="ru-RU"/>
              </w:rPr>
            </w:pPr>
            <w:r w:rsidRPr="00AE14C8">
              <w:rPr>
                <w:sz w:val="22"/>
                <w:lang w:eastAsia="ru-RU"/>
              </w:rPr>
              <w:t>Образовательное</w:t>
            </w:r>
          </w:p>
        </w:tc>
        <w:tc>
          <w:tcPr>
            <w:tcW w:w="7088" w:type="dxa"/>
            <w:shd w:val="clear" w:color="auto" w:fill="FFFFFF" w:themeFill="background1"/>
          </w:tcPr>
          <w:p w:rsidR="00883627" w:rsidRPr="00AE14C8" w:rsidRDefault="00AE14C8" w:rsidP="00AE14C8">
            <w:pPr>
              <w:ind w:firstLine="0"/>
              <w:rPr>
                <w:lang w:eastAsia="ru-RU"/>
              </w:rPr>
            </w:pPr>
            <w:r w:rsidRPr="00AE14C8">
              <w:rPr>
                <w:sz w:val="22"/>
                <w:lang w:eastAsia="ru-RU"/>
              </w:rPr>
              <w:t xml:space="preserve">Инклюзивное </w:t>
            </w:r>
            <w:r w:rsidR="00883627" w:rsidRPr="00AE14C8">
              <w:rPr>
                <w:sz w:val="22"/>
                <w:lang w:eastAsia="ru-RU"/>
              </w:rPr>
              <w:t>образование</w:t>
            </w:r>
          </w:p>
          <w:p w:rsidR="00883627" w:rsidRPr="00AE14C8" w:rsidRDefault="00AE14C8" w:rsidP="00AE14C8">
            <w:pPr>
              <w:ind w:firstLine="0"/>
              <w:rPr>
                <w:lang w:eastAsia="ru-RU"/>
              </w:rPr>
            </w:pPr>
            <w:r w:rsidRPr="00AE14C8">
              <w:rPr>
                <w:sz w:val="22"/>
                <w:lang w:eastAsia="ru-RU"/>
              </w:rPr>
              <w:t xml:space="preserve">Мультилингвальное </w:t>
            </w:r>
            <w:r w:rsidR="00883627" w:rsidRPr="00AE14C8">
              <w:rPr>
                <w:sz w:val="22"/>
                <w:lang w:eastAsia="ru-RU"/>
              </w:rPr>
              <w:t>образование</w:t>
            </w:r>
          </w:p>
          <w:p w:rsidR="00883627" w:rsidRPr="00AE14C8" w:rsidRDefault="00AE14C8" w:rsidP="00AE14C8">
            <w:pPr>
              <w:ind w:firstLine="0"/>
              <w:rPr>
                <w:lang w:eastAsia="ru-RU"/>
              </w:rPr>
            </w:pPr>
            <w:r w:rsidRPr="00AE14C8">
              <w:rPr>
                <w:sz w:val="22"/>
                <w:lang w:eastAsia="ru-RU"/>
              </w:rPr>
              <w:t xml:space="preserve">Образование </w:t>
            </w:r>
            <w:r w:rsidR="00883627" w:rsidRPr="00AE14C8">
              <w:rPr>
                <w:sz w:val="22"/>
                <w:lang w:eastAsia="ru-RU"/>
              </w:rPr>
              <w:t>в сфере искусства</w:t>
            </w:r>
          </w:p>
          <w:p w:rsidR="00883627" w:rsidRPr="00AE14C8" w:rsidRDefault="00AE14C8" w:rsidP="00AE14C8">
            <w:pPr>
              <w:ind w:firstLine="0"/>
              <w:rPr>
                <w:lang w:eastAsia="ru-RU"/>
              </w:rPr>
            </w:pPr>
            <w:r w:rsidRPr="00AE14C8">
              <w:rPr>
                <w:sz w:val="22"/>
                <w:lang w:eastAsia="ru-RU"/>
              </w:rPr>
              <w:t xml:space="preserve">Дополнительное </w:t>
            </w:r>
            <w:r w:rsidR="00883627" w:rsidRPr="00AE14C8">
              <w:rPr>
                <w:sz w:val="22"/>
                <w:lang w:eastAsia="ru-RU"/>
              </w:rPr>
              <w:t>профессиональное образование в сфере культуры</w:t>
            </w:r>
          </w:p>
        </w:tc>
      </w:tr>
      <w:tr w:rsidR="00883627" w:rsidRPr="00AE14C8" w:rsidTr="00904462">
        <w:tc>
          <w:tcPr>
            <w:tcW w:w="2518" w:type="dxa"/>
            <w:shd w:val="clear" w:color="auto" w:fill="FFFFFF" w:themeFill="background1"/>
          </w:tcPr>
          <w:p w:rsidR="00883627" w:rsidRPr="00AE14C8" w:rsidRDefault="00883627" w:rsidP="00AE14C8">
            <w:pPr>
              <w:ind w:firstLine="0"/>
              <w:rPr>
                <w:lang w:eastAsia="ru-RU"/>
              </w:rPr>
            </w:pPr>
            <w:r w:rsidRPr="00AE14C8">
              <w:rPr>
                <w:sz w:val="22"/>
                <w:lang w:eastAsia="ru-RU"/>
              </w:rPr>
              <w:t>Управленческое</w:t>
            </w:r>
          </w:p>
        </w:tc>
        <w:tc>
          <w:tcPr>
            <w:tcW w:w="7088" w:type="dxa"/>
            <w:shd w:val="clear" w:color="auto" w:fill="FFFFFF" w:themeFill="background1"/>
          </w:tcPr>
          <w:p w:rsidR="00883627" w:rsidRPr="00AE14C8" w:rsidRDefault="00AE14C8" w:rsidP="00AE14C8">
            <w:pPr>
              <w:ind w:firstLine="0"/>
              <w:rPr>
                <w:lang w:eastAsia="ru-RU"/>
              </w:rPr>
            </w:pPr>
            <w:r w:rsidRPr="00AE14C8">
              <w:rPr>
                <w:sz w:val="22"/>
                <w:lang w:eastAsia="ru-RU"/>
              </w:rPr>
              <w:t xml:space="preserve">Разработка </w:t>
            </w:r>
            <w:r w:rsidR="00883627" w:rsidRPr="00AE14C8">
              <w:rPr>
                <w:sz w:val="22"/>
                <w:lang w:eastAsia="ru-RU"/>
              </w:rPr>
              <w:t>нормативных документов в сфере культуры</w:t>
            </w:r>
          </w:p>
          <w:p w:rsidR="00883627" w:rsidRPr="00AE14C8" w:rsidRDefault="004447AB" w:rsidP="00AE14C8">
            <w:pPr>
              <w:ind w:firstLine="0"/>
              <w:rPr>
                <w:lang w:eastAsia="ru-RU"/>
              </w:rPr>
            </w:pPr>
            <w:r w:rsidRPr="00AE14C8">
              <w:rPr>
                <w:sz w:val="22"/>
                <w:lang w:eastAsia="ru-RU"/>
              </w:rPr>
              <w:t xml:space="preserve">Политические </w:t>
            </w:r>
            <w:r w:rsidR="00883627" w:rsidRPr="00AE14C8">
              <w:rPr>
                <w:sz w:val="22"/>
                <w:lang w:eastAsia="ru-RU"/>
              </w:rPr>
              <w:t>и институциональные</w:t>
            </w:r>
            <w:r w:rsidR="00EF4EB6" w:rsidRPr="00AE14C8">
              <w:rPr>
                <w:sz w:val="22"/>
                <w:lang w:eastAsia="ru-RU"/>
              </w:rPr>
              <w:t xml:space="preserve"> </w:t>
            </w:r>
            <w:r w:rsidR="00883627" w:rsidRPr="00AE14C8">
              <w:rPr>
                <w:sz w:val="22"/>
                <w:lang w:eastAsia="ru-RU"/>
              </w:rPr>
              <w:t>аспекты культуры</w:t>
            </w:r>
          </w:p>
          <w:p w:rsidR="00883627" w:rsidRPr="00AE14C8" w:rsidRDefault="004447AB" w:rsidP="00AE14C8">
            <w:pPr>
              <w:ind w:firstLine="0"/>
              <w:rPr>
                <w:lang w:eastAsia="ru-RU"/>
              </w:rPr>
            </w:pPr>
            <w:r w:rsidRPr="00AE14C8">
              <w:rPr>
                <w:sz w:val="22"/>
                <w:lang w:eastAsia="ru-RU"/>
              </w:rPr>
              <w:t xml:space="preserve">Распространенность </w:t>
            </w:r>
            <w:r w:rsidR="00883627" w:rsidRPr="00AE14C8">
              <w:rPr>
                <w:sz w:val="22"/>
                <w:lang w:eastAsia="ru-RU"/>
              </w:rPr>
              <w:t>культурных инфраструктур</w:t>
            </w:r>
          </w:p>
          <w:p w:rsidR="00883627" w:rsidRPr="00AE14C8" w:rsidRDefault="004447AB" w:rsidP="00AE14C8">
            <w:pPr>
              <w:ind w:firstLine="0"/>
              <w:rPr>
                <w:lang w:eastAsia="ru-RU"/>
              </w:rPr>
            </w:pPr>
            <w:r w:rsidRPr="00AE14C8">
              <w:rPr>
                <w:sz w:val="22"/>
                <w:lang w:eastAsia="ru-RU"/>
              </w:rPr>
              <w:t xml:space="preserve">Участие </w:t>
            </w:r>
            <w:r w:rsidR="00883627" w:rsidRPr="00AE14C8">
              <w:rPr>
                <w:sz w:val="22"/>
                <w:lang w:eastAsia="ru-RU"/>
              </w:rPr>
              <w:t>гражданского общества в управлении культурой</w:t>
            </w:r>
          </w:p>
        </w:tc>
      </w:tr>
      <w:tr w:rsidR="00883627" w:rsidRPr="00AE14C8" w:rsidTr="00904462">
        <w:tc>
          <w:tcPr>
            <w:tcW w:w="2518" w:type="dxa"/>
            <w:shd w:val="clear" w:color="auto" w:fill="FFFFFF" w:themeFill="background1"/>
          </w:tcPr>
          <w:p w:rsidR="00883627" w:rsidRPr="00AE14C8" w:rsidRDefault="00AE14C8" w:rsidP="00AE14C8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С</w:t>
            </w:r>
            <w:r w:rsidR="00883627" w:rsidRPr="00AE14C8">
              <w:rPr>
                <w:sz w:val="22"/>
                <w:lang w:eastAsia="ru-RU"/>
              </w:rPr>
              <w:t>оциального участия</w:t>
            </w:r>
          </w:p>
        </w:tc>
        <w:tc>
          <w:tcPr>
            <w:tcW w:w="7088" w:type="dxa"/>
            <w:shd w:val="clear" w:color="auto" w:fill="FFFFFF" w:themeFill="background1"/>
          </w:tcPr>
          <w:p w:rsidR="00883627" w:rsidRPr="00AE14C8" w:rsidRDefault="004447AB" w:rsidP="00AE14C8">
            <w:pPr>
              <w:ind w:firstLine="0"/>
              <w:rPr>
                <w:lang w:eastAsia="ru-RU"/>
              </w:rPr>
            </w:pPr>
            <w:r w:rsidRPr="00AE14C8">
              <w:rPr>
                <w:sz w:val="22"/>
                <w:lang w:eastAsia="ru-RU"/>
              </w:rPr>
              <w:t xml:space="preserve">Участие </w:t>
            </w:r>
            <w:r w:rsidR="00883627" w:rsidRPr="00AE14C8">
              <w:rPr>
                <w:sz w:val="22"/>
                <w:lang w:eastAsia="ru-RU"/>
              </w:rPr>
              <w:t>населения в культурных акциях</w:t>
            </w:r>
          </w:p>
          <w:p w:rsidR="00883627" w:rsidRPr="00AE14C8" w:rsidRDefault="004447AB" w:rsidP="00AE14C8">
            <w:pPr>
              <w:ind w:firstLine="0"/>
              <w:rPr>
                <w:lang w:eastAsia="ru-RU"/>
              </w:rPr>
            </w:pPr>
            <w:r w:rsidRPr="00AE14C8">
              <w:rPr>
                <w:sz w:val="22"/>
                <w:lang w:eastAsia="ru-RU"/>
              </w:rPr>
              <w:t xml:space="preserve">Участие </w:t>
            </w:r>
            <w:r w:rsidR="00883627" w:rsidRPr="00AE14C8">
              <w:rPr>
                <w:sz w:val="22"/>
                <w:lang w:eastAsia="ru-RU"/>
              </w:rPr>
              <w:t>в акциях, связанных с культурной идентичностью</w:t>
            </w:r>
          </w:p>
          <w:p w:rsidR="00883627" w:rsidRPr="00AE14C8" w:rsidRDefault="004447AB" w:rsidP="00AE14C8">
            <w:pPr>
              <w:ind w:firstLine="0"/>
              <w:rPr>
                <w:lang w:eastAsia="ru-RU"/>
              </w:rPr>
            </w:pPr>
            <w:r w:rsidRPr="00AE14C8">
              <w:rPr>
                <w:sz w:val="22"/>
                <w:lang w:eastAsia="ru-RU"/>
              </w:rPr>
              <w:t xml:space="preserve">Толерантность </w:t>
            </w:r>
            <w:r w:rsidR="00883627" w:rsidRPr="00AE14C8">
              <w:rPr>
                <w:sz w:val="22"/>
                <w:lang w:eastAsia="ru-RU"/>
              </w:rPr>
              <w:t>относительно других культур</w:t>
            </w:r>
          </w:p>
          <w:p w:rsidR="00883627" w:rsidRPr="00AE14C8" w:rsidRDefault="004447AB" w:rsidP="00AE14C8">
            <w:pPr>
              <w:ind w:firstLine="0"/>
              <w:rPr>
                <w:lang w:eastAsia="ru-RU"/>
              </w:rPr>
            </w:pPr>
            <w:r w:rsidRPr="00AE14C8">
              <w:rPr>
                <w:sz w:val="22"/>
                <w:lang w:eastAsia="ru-RU"/>
              </w:rPr>
              <w:t xml:space="preserve">Межличностное </w:t>
            </w:r>
            <w:r w:rsidR="00883627" w:rsidRPr="00AE14C8">
              <w:rPr>
                <w:sz w:val="22"/>
                <w:lang w:eastAsia="ru-RU"/>
              </w:rPr>
              <w:t>доверие</w:t>
            </w:r>
          </w:p>
          <w:p w:rsidR="00883627" w:rsidRPr="00AE14C8" w:rsidRDefault="004447AB" w:rsidP="00AE14C8">
            <w:pPr>
              <w:ind w:firstLine="0"/>
              <w:rPr>
                <w:lang w:eastAsia="ru-RU"/>
              </w:rPr>
            </w:pPr>
            <w:r w:rsidRPr="00AE14C8">
              <w:rPr>
                <w:sz w:val="22"/>
                <w:lang w:eastAsia="ru-RU"/>
              </w:rPr>
              <w:t xml:space="preserve">Свобода </w:t>
            </w:r>
            <w:r w:rsidR="00883627" w:rsidRPr="00AE14C8">
              <w:rPr>
                <w:sz w:val="22"/>
                <w:lang w:eastAsia="ru-RU"/>
              </w:rPr>
              <w:t xml:space="preserve">самоопределения </w:t>
            </w:r>
          </w:p>
        </w:tc>
      </w:tr>
      <w:tr w:rsidR="00883627" w:rsidRPr="00AE14C8" w:rsidTr="00904462">
        <w:tc>
          <w:tcPr>
            <w:tcW w:w="2518" w:type="dxa"/>
            <w:shd w:val="clear" w:color="auto" w:fill="FFFFFF" w:themeFill="background1"/>
          </w:tcPr>
          <w:p w:rsidR="00883627" w:rsidRPr="00AE14C8" w:rsidRDefault="004447AB" w:rsidP="00AE14C8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Г</w:t>
            </w:r>
            <w:r w:rsidR="00883627" w:rsidRPr="00AE14C8">
              <w:rPr>
                <w:sz w:val="22"/>
                <w:lang w:eastAsia="ru-RU"/>
              </w:rPr>
              <w:t>ендерного равенства</w:t>
            </w:r>
          </w:p>
        </w:tc>
        <w:tc>
          <w:tcPr>
            <w:tcW w:w="7088" w:type="dxa"/>
            <w:shd w:val="clear" w:color="auto" w:fill="FFFFFF" w:themeFill="background1"/>
          </w:tcPr>
          <w:p w:rsidR="00883627" w:rsidRPr="00AE14C8" w:rsidRDefault="004447AB" w:rsidP="00AE14C8">
            <w:pPr>
              <w:ind w:firstLine="0"/>
              <w:rPr>
                <w:lang w:eastAsia="ru-RU"/>
              </w:rPr>
            </w:pPr>
            <w:r w:rsidRPr="00AE14C8">
              <w:rPr>
                <w:sz w:val="22"/>
                <w:lang w:eastAsia="ru-RU"/>
              </w:rPr>
              <w:t xml:space="preserve">Объективные </w:t>
            </w:r>
            <w:r w:rsidR="00883627" w:rsidRPr="00AE14C8">
              <w:rPr>
                <w:sz w:val="22"/>
                <w:lang w:eastAsia="ru-RU"/>
              </w:rPr>
              <w:t>показатели гендерного равенства</w:t>
            </w:r>
          </w:p>
          <w:p w:rsidR="00883627" w:rsidRPr="00AE14C8" w:rsidRDefault="004447AB" w:rsidP="00AE14C8">
            <w:pPr>
              <w:ind w:firstLine="0"/>
              <w:rPr>
                <w:lang w:eastAsia="ru-RU"/>
              </w:rPr>
            </w:pPr>
            <w:r w:rsidRPr="00AE14C8">
              <w:rPr>
                <w:sz w:val="22"/>
                <w:lang w:eastAsia="ru-RU"/>
              </w:rPr>
              <w:t xml:space="preserve">Восприятие </w:t>
            </w:r>
            <w:r w:rsidR="00883627" w:rsidRPr="00AE14C8">
              <w:rPr>
                <w:sz w:val="22"/>
                <w:lang w:eastAsia="ru-RU"/>
              </w:rPr>
              <w:t>гендерного равенства (субъективные показатели)</w:t>
            </w:r>
          </w:p>
        </w:tc>
      </w:tr>
      <w:tr w:rsidR="00883627" w:rsidRPr="00AE14C8" w:rsidTr="00904462">
        <w:tc>
          <w:tcPr>
            <w:tcW w:w="2518" w:type="dxa"/>
            <w:shd w:val="clear" w:color="auto" w:fill="FFFFFF" w:themeFill="background1"/>
          </w:tcPr>
          <w:p w:rsidR="00883627" w:rsidRPr="00AE14C8" w:rsidRDefault="00883627" w:rsidP="004447AB">
            <w:pPr>
              <w:ind w:firstLine="0"/>
              <w:rPr>
                <w:lang w:eastAsia="ru-RU"/>
              </w:rPr>
            </w:pPr>
            <w:r w:rsidRPr="00AE14C8">
              <w:rPr>
                <w:sz w:val="22"/>
                <w:lang w:eastAsia="ru-RU"/>
              </w:rPr>
              <w:t xml:space="preserve">Коммуникационное </w:t>
            </w:r>
          </w:p>
        </w:tc>
        <w:tc>
          <w:tcPr>
            <w:tcW w:w="7088" w:type="dxa"/>
            <w:shd w:val="clear" w:color="auto" w:fill="FFFFFF" w:themeFill="background1"/>
          </w:tcPr>
          <w:p w:rsidR="00883627" w:rsidRPr="00AE14C8" w:rsidRDefault="004447AB" w:rsidP="00AE14C8">
            <w:pPr>
              <w:ind w:firstLine="0"/>
              <w:rPr>
                <w:lang w:eastAsia="ru-RU"/>
              </w:rPr>
            </w:pPr>
            <w:r w:rsidRPr="00AE14C8">
              <w:rPr>
                <w:sz w:val="22"/>
                <w:lang w:eastAsia="ru-RU"/>
              </w:rPr>
              <w:t xml:space="preserve">Свобода </w:t>
            </w:r>
            <w:r w:rsidR="00883627" w:rsidRPr="00AE14C8">
              <w:rPr>
                <w:sz w:val="22"/>
                <w:lang w:eastAsia="ru-RU"/>
              </w:rPr>
              <w:t>выражения</w:t>
            </w:r>
          </w:p>
          <w:p w:rsidR="00883627" w:rsidRPr="00AE14C8" w:rsidRDefault="004447AB" w:rsidP="00AE14C8">
            <w:pPr>
              <w:ind w:firstLine="0"/>
              <w:rPr>
                <w:lang w:eastAsia="ru-RU"/>
              </w:rPr>
            </w:pPr>
            <w:r w:rsidRPr="00AE14C8">
              <w:rPr>
                <w:sz w:val="22"/>
                <w:lang w:eastAsia="ru-RU"/>
              </w:rPr>
              <w:t xml:space="preserve">Доступ </w:t>
            </w:r>
            <w:r w:rsidR="00883627" w:rsidRPr="00AE14C8">
              <w:rPr>
                <w:sz w:val="22"/>
                <w:lang w:eastAsia="ru-RU"/>
              </w:rPr>
              <w:t>в интернет</w:t>
            </w:r>
          </w:p>
          <w:p w:rsidR="00883627" w:rsidRPr="00AE14C8" w:rsidRDefault="004447AB" w:rsidP="00AE14C8">
            <w:pPr>
              <w:ind w:firstLine="0"/>
              <w:rPr>
                <w:lang w:eastAsia="ru-RU"/>
              </w:rPr>
            </w:pPr>
            <w:r w:rsidRPr="00AE14C8">
              <w:rPr>
                <w:sz w:val="22"/>
                <w:lang w:eastAsia="ru-RU"/>
              </w:rPr>
              <w:t xml:space="preserve">Разнообразие </w:t>
            </w:r>
            <w:r w:rsidR="00883627" w:rsidRPr="00AE14C8">
              <w:rPr>
                <w:sz w:val="22"/>
                <w:lang w:eastAsia="ru-RU"/>
              </w:rPr>
              <w:t>функционального контента общественного телевидения</w:t>
            </w:r>
          </w:p>
        </w:tc>
      </w:tr>
      <w:tr w:rsidR="00883627" w:rsidRPr="00AE14C8" w:rsidTr="00904462">
        <w:tc>
          <w:tcPr>
            <w:tcW w:w="2518" w:type="dxa"/>
            <w:shd w:val="clear" w:color="auto" w:fill="FFFFFF" w:themeFill="background1"/>
          </w:tcPr>
          <w:p w:rsidR="00883627" w:rsidRPr="00AE14C8" w:rsidRDefault="00883627" w:rsidP="00AE14C8">
            <w:pPr>
              <w:ind w:firstLine="0"/>
              <w:rPr>
                <w:lang w:eastAsia="ru-RU"/>
              </w:rPr>
            </w:pPr>
            <w:r w:rsidRPr="00AE14C8">
              <w:rPr>
                <w:sz w:val="22"/>
                <w:lang w:eastAsia="ru-RU"/>
              </w:rPr>
              <w:t>Культурное наследие</w:t>
            </w:r>
          </w:p>
        </w:tc>
        <w:tc>
          <w:tcPr>
            <w:tcW w:w="7088" w:type="dxa"/>
            <w:shd w:val="clear" w:color="auto" w:fill="FFFFFF" w:themeFill="background1"/>
          </w:tcPr>
          <w:p w:rsidR="00883627" w:rsidRPr="00AE14C8" w:rsidRDefault="004447AB" w:rsidP="00AE14C8">
            <w:pPr>
              <w:ind w:firstLine="0"/>
              <w:rPr>
                <w:lang w:eastAsia="ru-RU"/>
              </w:rPr>
            </w:pPr>
            <w:r w:rsidRPr="00AE14C8">
              <w:rPr>
                <w:sz w:val="22"/>
                <w:lang w:eastAsia="ru-RU"/>
              </w:rPr>
              <w:t xml:space="preserve">Устойчивость </w:t>
            </w:r>
            <w:r w:rsidR="00883627" w:rsidRPr="00AE14C8">
              <w:rPr>
                <w:sz w:val="22"/>
                <w:lang w:eastAsia="ru-RU"/>
              </w:rPr>
              <w:t>наследия</w:t>
            </w:r>
          </w:p>
          <w:p w:rsidR="00883627" w:rsidRPr="00AE14C8" w:rsidRDefault="004447AB" w:rsidP="00C75088">
            <w:pPr>
              <w:ind w:firstLine="0"/>
              <w:rPr>
                <w:lang w:eastAsia="ru-RU"/>
              </w:rPr>
            </w:pPr>
            <w:r w:rsidRPr="00AE14C8">
              <w:rPr>
                <w:sz w:val="22"/>
                <w:lang w:eastAsia="ru-RU"/>
              </w:rPr>
              <w:t xml:space="preserve">Индекс </w:t>
            </w:r>
            <w:r w:rsidR="00883627" w:rsidRPr="00AE14C8">
              <w:rPr>
                <w:sz w:val="22"/>
                <w:lang w:eastAsia="ru-RU"/>
              </w:rPr>
              <w:t>развития многомерной деятельности по устойчивости наследия</w:t>
            </w:r>
          </w:p>
        </w:tc>
      </w:tr>
    </w:tbl>
    <w:p w:rsidR="00CA38C3" w:rsidRPr="00EF4EB6" w:rsidRDefault="00883627" w:rsidP="00EA36B3">
      <w:pPr>
        <w:rPr>
          <w:rFonts w:eastAsia="Times New Roman"/>
          <w:color w:val="000000"/>
          <w:szCs w:val="28"/>
          <w:lang w:eastAsia="ru-RU"/>
        </w:rPr>
      </w:pPr>
      <w:r w:rsidRPr="00EF4EB6">
        <w:rPr>
          <w:rFonts w:eastAsia="Times New Roman"/>
          <w:color w:val="000000"/>
          <w:szCs w:val="28"/>
          <w:lang w:eastAsia="ru-RU"/>
        </w:rPr>
        <w:t>С целью практического использования этой системы подготовлено специальное руководство, в котором описана ме</w:t>
      </w:r>
      <w:r w:rsidR="007873A9" w:rsidRPr="00EF4EB6">
        <w:rPr>
          <w:rFonts w:eastAsia="Times New Roman"/>
          <w:color w:val="000000"/>
          <w:szCs w:val="28"/>
          <w:lang w:eastAsia="ru-RU"/>
        </w:rPr>
        <w:t xml:space="preserve">тодология и методика измерения </w:t>
      </w:r>
      <w:r w:rsidRPr="00EF4EB6">
        <w:rPr>
          <w:rFonts w:eastAsia="Times New Roman"/>
          <w:color w:val="000000"/>
          <w:szCs w:val="28"/>
          <w:lang w:eastAsia="ru-RU"/>
        </w:rPr>
        <w:t>каждого показателя</w:t>
      </w:r>
      <w:r w:rsidR="00A450D5" w:rsidRPr="00EF4EB6">
        <w:rPr>
          <w:rFonts w:eastAsia="Times New Roman"/>
          <w:color w:val="000000"/>
          <w:szCs w:val="28"/>
          <w:lang w:eastAsia="ru-RU"/>
        </w:rPr>
        <w:t xml:space="preserve"> [</w:t>
      </w:r>
      <w:fldSimple w:instr=" REF _Ref524695838 \r \h  \* MERGEFORMAT ">
        <w:r w:rsidR="00F20C62">
          <w:rPr>
            <w:rFonts w:eastAsia="Times New Roman"/>
            <w:color w:val="000000"/>
            <w:szCs w:val="28"/>
            <w:lang w:eastAsia="ru-RU"/>
          </w:rPr>
          <w:t>1</w:t>
        </w:r>
      </w:fldSimple>
      <w:r w:rsidR="00A450D5" w:rsidRPr="00EF4EB6">
        <w:rPr>
          <w:rFonts w:eastAsia="Times New Roman"/>
          <w:color w:val="000000"/>
          <w:szCs w:val="28"/>
          <w:lang w:eastAsia="ru-RU"/>
        </w:rPr>
        <w:t>]</w:t>
      </w:r>
      <w:r w:rsidR="00CA38C3" w:rsidRPr="00EF4EB6">
        <w:rPr>
          <w:rFonts w:eastAsia="Times New Roman"/>
          <w:color w:val="000000"/>
          <w:szCs w:val="28"/>
          <w:lang w:eastAsia="ru-RU"/>
        </w:rPr>
        <w:t xml:space="preserve">. </w:t>
      </w:r>
    </w:p>
    <w:p w:rsidR="00CA38C3" w:rsidRPr="00EF4EB6" w:rsidRDefault="00CA38C3" w:rsidP="00EA36B3">
      <w:pPr>
        <w:rPr>
          <w:rFonts w:eastAsia="Times New Roman"/>
          <w:color w:val="000000"/>
          <w:szCs w:val="28"/>
          <w:lang w:eastAsia="ru-RU"/>
        </w:rPr>
      </w:pPr>
      <w:r w:rsidRPr="00EF4EB6">
        <w:rPr>
          <w:rFonts w:eastAsia="Times New Roman"/>
          <w:color w:val="000000"/>
          <w:szCs w:val="28"/>
          <w:lang w:eastAsia="ru-RU"/>
        </w:rPr>
        <w:t xml:space="preserve">Учитывая возрастающее значение культуры в развитии, и именно </w:t>
      </w:r>
      <w:r w:rsidRPr="004447AB">
        <w:rPr>
          <w:rFonts w:eastAsia="Times New Roman"/>
          <w:color w:val="000000"/>
          <w:szCs w:val="28"/>
          <w:lang w:eastAsia="ru-RU"/>
        </w:rPr>
        <w:t>в устойчивом развитии</w:t>
      </w:r>
      <w:r w:rsidRPr="00EF4EB6">
        <w:rPr>
          <w:rFonts w:eastAsia="Times New Roman"/>
          <w:color w:val="000000"/>
          <w:szCs w:val="28"/>
          <w:lang w:eastAsia="ru-RU"/>
        </w:rPr>
        <w:t xml:space="preserve"> человечества, Открытой рабочей группой</w:t>
      </w:r>
      <w:r w:rsidR="00A450D5" w:rsidRPr="00EF4EB6">
        <w:rPr>
          <w:rFonts w:eastAsia="Times New Roman"/>
          <w:color w:val="000000"/>
          <w:szCs w:val="28"/>
          <w:lang w:eastAsia="ru-RU"/>
        </w:rPr>
        <w:t xml:space="preserve"> [</w:t>
      </w:r>
      <w:fldSimple w:instr=" REF _Ref524695878 \r \h  \* MERGEFORMAT ">
        <w:r w:rsidR="00F20C62">
          <w:rPr>
            <w:rFonts w:eastAsia="Times New Roman"/>
            <w:color w:val="000000"/>
            <w:szCs w:val="28"/>
            <w:lang w:eastAsia="ru-RU"/>
          </w:rPr>
          <w:t>2</w:t>
        </w:r>
      </w:fldSimple>
      <w:r w:rsidR="00A450D5" w:rsidRPr="00EF4EB6">
        <w:rPr>
          <w:rFonts w:eastAsia="Times New Roman"/>
          <w:color w:val="000000"/>
          <w:szCs w:val="28"/>
          <w:lang w:eastAsia="ru-RU"/>
        </w:rPr>
        <w:t>]</w:t>
      </w:r>
      <w:r w:rsidRPr="00EF4EB6">
        <w:rPr>
          <w:rFonts w:eastAsia="Times New Roman"/>
          <w:color w:val="000000"/>
          <w:szCs w:val="28"/>
          <w:lang w:eastAsia="ru-RU"/>
        </w:rPr>
        <w:t xml:space="preserve">, созданной ООН и состоящей из представителей неправительственных и правительственных организаций и структур были внесены предложения в Цели устойчивого развития, включающие необходимость учета роли культуры в устойчивом развитии, а также индикаторы, посредством которых отражается эта роль и степень продвижения к целям. Ниже в </w:t>
      </w:r>
      <w:r w:rsidRPr="004447AB">
        <w:rPr>
          <w:rFonts w:eastAsia="Times New Roman"/>
          <w:i/>
          <w:color w:val="000000"/>
          <w:szCs w:val="28"/>
          <w:lang w:eastAsia="ru-RU"/>
        </w:rPr>
        <w:t>табл</w:t>
      </w:r>
      <w:r w:rsidR="004447AB" w:rsidRPr="004447AB">
        <w:rPr>
          <w:rFonts w:eastAsia="Times New Roman"/>
          <w:i/>
          <w:color w:val="000000"/>
          <w:szCs w:val="28"/>
          <w:lang w:eastAsia="ru-RU"/>
        </w:rPr>
        <w:t>.</w:t>
      </w:r>
      <w:r w:rsidRPr="004447AB">
        <w:rPr>
          <w:rFonts w:eastAsia="Times New Roman"/>
          <w:i/>
          <w:color w:val="000000"/>
          <w:szCs w:val="28"/>
          <w:lang w:eastAsia="ru-RU"/>
        </w:rPr>
        <w:t xml:space="preserve"> 2</w:t>
      </w:r>
      <w:r w:rsidRPr="00EF4EB6">
        <w:rPr>
          <w:rFonts w:eastAsia="Times New Roman"/>
          <w:color w:val="000000"/>
          <w:szCs w:val="28"/>
          <w:lang w:eastAsia="ru-RU"/>
        </w:rPr>
        <w:t xml:space="preserve"> приведены эти предложения</w:t>
      </w:r>
      <w:r w:rsidR="00A450D5" w:rsidRPr="00EF4EB6">
        <w:rPr>
          <w:rFonts w:eastAsia="Times New Roman"/>
          <w:color w:val="000000"/>
          <w:szCs w:val="28"/>
          <w:lang w:eastAsia="ru-RU"/>
        </w:rPr>
        <w:t xml:space="preserve"> [</w:t>
      </w:r>
      <w:fldSimple w:instr=" REF _Ref524695902 \r \h  \* MERGEFORMAT ">
        <w:r w:rsidR="00F20C62" w:rsidRPr="00EA36B3">
          <w:rPr>
            <w:rFonts w:eastAsia="Times New Roman"/>
            <w:color w:val="000000"/>
            <w:szCs w:val="28"/>
            <w:lang w:eastAsia="ru-RU"/>
          </w:rPr>
          <w:t>3</w:t>
        </w:r>
      </w:fldSimple>
      <w:r w:rsidR="00A450D5" w:rsidRPr="00EF4EB6">
        <w:rPr>
          <w:rFonts w:eastAsia="Times New Roman"/>
          <w:color w:val="000000"/>
          <w:szCs w:val="28"/>
          <w:lang w:eastAsia="ru-RU"/>
        </w:rPr>
        <w:t>]</w:t>
      </w:r>
      <w:r w:rsidRPr="00EF4EB6">
        <w:rPr>
          <w:rFonts w:eastAsia="Times New Roman"/>
          <w:color w:val="000000"/>
          <w:szCs w:val="28"/>
          <w:lang w:eastAsia="ru-RU"/>
        </w:rPr>
        <w:t>. Следует сра</w:t>
      </w:r>
      <w:r w:rsidR="00432ABF" w:rsidRPr="00EF4EB6">
        <w:rPr>
          <w:rFonts w:eastAsia="Times New Roman"/>
          <w:color w:val="000000"/>
          <w:szCs w:val="28"/>
          <w:lang w:eastAsia="ru-RU"/>
        </w:rPr>
        <w:t xml:space="preserve">зу отметить, что далеко не все </w:t>
      </w:r>
      <w:r w:rsidRPr="00EF4EB6">
        <w:rPr>
          <w:rFonts w:eastAsia="Times New Roman"/>
          <w:color w:val="000000"/>
          <w:szCs w:val="28"/>
          <w:lang w:eastAsia="ru-RU"/>
        </w:rPr>
        <w:t>из этих предложений были включены в текущий документ, но сами по себе они остаются ценным подспорьем и основаниями для реализации в будущих стратегиях устойчивого развития.</w:t>
      </w:r>
    </w:p>
    <w:p w:rsidR="00CA38C3" w:rsidRDefault="004447AB" w:rsidP="004447AB">
      <w:pPr>
        <w:jc w:val="right"/>
        <w:rPr>
          <w:rFonts w:eastAsia="Times New Roman"/>
          <w:color w:val="000000"/>
          <w:szCs w:val="28"/>
          <w:lang w:eastAsia="ru-RU"/>
        </w:rPr>
      </w:pPr>
      <w:r w:rsidRPr="00EF4EB6">
        <w:rPr>
          <w:rFonts w:eastAsia="Times New Roman"/>
          <w:color w:val="000000"/>
          <w:szCs w:val="28"/>
          <w:lang w:eastAsia="ru-RU"/>
        </w:rPr>
        <w:t xml:space="preserve">Таблица </w:t>
      </w:r>
      <w:r w:rsidR="00CA38C3" w:rsidRPr="00EF4EB6">
        <w:rPr>
          <w:rFonts w:eastAsia="Times New Roman"/>
          <w:color w:val="000000"/>
          <w:szCs w:val="28"/>
          <w:lang w:eastAsia="ru-RU"/>
        </w:rPr>
        <w:t>2</w:t>
      </w:r>
    </w:p>
    <w:p w:rsidR="004447AB" w:rsidRPr="004447AB" w:rsidRDefault="004447AB" w:rsidP="004447AB">
      <w:pPr>
        <w:jc w:val="center"/>
        <w:rPr>
          <w:rFonts w:eastAsia="Times New Roman"/>
          <w:b/>
          <w:i/>
          <w:color w:val="000000"/>
          <w:szCs w:val="28"/>
          <w:lang w:eastAsia="ru-RU"/>
        </w:rPr>
      </w:pPr>
      <w:r w:rsidRPr="004447AB">
        <w:rPr>
          <w:rFonts w:eastAsia="Times New Roman"/>
          <w:b/>
          <w:i/>
          <w:color w:val="000000"/>
          <w:szCs w:val="28"/>
          <w:lang w:eastAsia="ru-RU"/>
        </w:rPr>
        <w:t>Предложения в Цели устойчивого развития, включающие необходимость учета роли культуры в устойчивом развитии, а также индикаторы, посредством которых отражается роль и степень продвижения к целям</w:t>
      </w:r>
    </w:p>
    <w:tbl>
      <w:tblPr>
        <w:tblStyle w:val="af1"/>
        <w:tblW w:w="9747" w:type="dxa"/>
        <w:tblLook w:val="04A0"/>
      </w:tblPr>
      <w:tblGrid>
        <w:gridCol w:w="2518"/>
        <w:gridCol w:w="3402"/>
        <w:gridCol w:w="3827"/>
      </w:tblGrid>
      <w:tr w:rsidR="004447AB" w:rsidRPr="00C84171" w:rsidTr="00CA745E">
        <w:tc>
          <w:tcPr>
            <w:tcW w:w="2518" w:type="dxa"/>
            <w:vMerge w:val="restart"/>
            <w:vAlign w:val="center"/>
          </w:tcPr>
          <w:p w:rsidR="004447AB" w:rsidRPr="00C84171" w:rsidRDefault="004447AB" w:rsidP="004447AB">
            <w:pPr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C84171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7229" w:type="dxa"/>
            <w:gridSpan w:val="2"/>
            <w:vAlign w:val="center"/>
          </w:tcPr>
          <w:p w:rsidR="004447AB" w:rsidRPr="00C84171" w:rsidRDefault="004447AB" w:rsidP="004447AB">
            <w:pPr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C84171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Предлагаемые</w:t>
            </w:r>
          </w:p>
        </w:tc>
      </w:tr>
      <w:tr w:rsidR="004447AB" w:rsidRPr="00C84171" w:rsidTr="00CA745E">
        <w:tc>
          <w:tcPr>
            <w:tcW w:w="2518" w:type="dxa"/>
            <w:vMerge/>
            <w:vAlign w:val="center"/>
          </w:tcPr>
          <w:p w:rsidR="004447AB" w:rsidRPr="00C84171" w:rsidRDefault="004447AB" w:rsidP="004447AB">
            <w:pPr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4447AB" w:rsidRPr="00C84171" w:rsidRDefault="004447AB" w:rsidP="004447AB">
            <w:pPr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C84171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3827" w:type="dxa"/>
            <w:vAlign w:val="center"/>
          </w:tcPr>
          <w:p w:rsidR="004447AB" w:rsidRPr="00C84171" w:rsidRDefault="004447AB" w:rsidP="004447AB">
            <w:pPr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C84171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индикатор</w:t>
            </w:r>
          </w:p>
        </w:tc>
      </w:tr>
      <w:tr w:rsidR="004447AB" w:rsidRPr="00C84171" w:rsidTr="00CA745E">
        <w:tc>
          <w:tcPr>
            <w:tcW w:w="2518" w:type="dxa"/>
          </w:tcPr>
          <w:p w:rsidR="004447AB" w:rsidRPr="00C84171" w:rsidRDefault="004447AB" w:rsidP="00EA36B3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171">
              <w:rPr>
                <w:i/>
                <w:color w:val="000000"/>
                <w:sz w:val="20"/>
                <w:szCs w:val="20"/>
              </w:rPr>
              <w:t>1. Конец бедности во всех ее формах в мире</w:t>
            </w:r>
          </w:p>
        </w:tc>
        <w:tc>
          <w:tcPr>
            <w:tcW w:w="3402" w:type="dxa"/>
          </w:tcPr>
          <w:p w:rsidR="004447AB" w:rsidRPr="00C84171" w:rsidRDefault="004447AB" w:rsidP="004447AB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171">
              <w:rPr>
                <w:color w:val="000000"/>
                <w:sz w:val="20"/>
                <w:szCs w:val="20"/>
              </w:rPr>
              <w:t>1.4. К 2030 г. обеспечить всем мужчинам и женщинам, бедным и уязвимым равные права на экономические ресурсы, а также доступ к основным услугам, право собственности и контроля над землей и другими формами собственности, наследования, природные ресурсы, соответствующие новые технологии, а также финансовые услуги, включая микрофинансирование.</w:t>
            </w:r>
          </w:p>
        </w:tc>
        <w:tc>
          <w:tcPr>
            <w:tcW w:w="3827" w:type="dxa"/>
          </w:tcPr>
          <w:p w:rsidR="004447AB" w:rsidRPr="00C84171" w:rsidRDefault="004447AB" w:rsidP="004447AB">
            <w:pPr>
              <w:ind w:firstLine="0"/>
              <w:rPr>
                <w:sz w:val="20"/>
                <w:szCs w:val="20"/>
              </w:rPr>
            </w:pPr>
            <w:r w:rsidRPr="00C84171">
              <w:rPr>
                <w:color w:val="000000"/>
                <w:sz w:val="20"/>
                <w:szCs w:val="20"/>
              </w:rPr>
              <w:t>Доля мужчин и женщин, имеющих доступ в пределах 30 минут пешего хода, к базовым культурным услугам и ресурсам (библиотеки, общественные центры, центры искусств, музеи, центры сохранения местного наследия центры и т.д.) как средств расширения возможностей и человеческого развития.</w:t>
            </w:r>
          </w:p>
          <w:p w:rsidR="004447AB" w:rsidRPr="00C84171" w:rsidRDefault="004447AB" w:rsidP="004447AB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171">
              <w:rPr>
                <w:color w:val="000000"/>
                <w:sz w:val="20"/>
                <w:szCs w:val="20"/>
              </w:rPr>
              <w:t xml:space="preserve">Доступ к выбранным видам инфраструктуры культурного сообщества (музеи, библиотеки, медиацентры, выставки) по отношению к распределенному населению страны в </w:t>
            </w:r>
            <w:r w:rsidRPr="00C84171">
              <w:rPr>
                <w:color w:val="000000"/>
                <w:sz w:val="20"/>
                <w:szCs w:val="20"/>
              </w:rPr>
              <w:lastRenderedPageBreak/>
              <w:t>административных делениях, следующих непосредственно за уровнем государства.</w:t>
            </w:r>
          </w:p>
        </w:tc>
      </w:tr>
      <w:tr w:rsidR="004447AB" w:rsidRPr="00C84171" w:rsidTr="00CA745E">
        <w:tc>
          <w:tcPr>
            <w:tcW w:w="2518" w:type="dxa"/>
          </w:tcPr>
          <w:p w:rsidR="004447AB" w:rsidRPr="00C84171" w:rsidRDefault="004447AB" w:rsidP="004447AB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171">
              <w:rPr>
                <w:i/>
                <w:color w:val="000000"/>
                <w:sz w:val="20"/>
                <w:szCs w:val="20"/>
              </w:rPr>
              <w:lastRenderedPageBreak/>
              <w:t>4. Обеспечение всестороннего и равноправного качественного образования и продвижения возможности обучения в течение жизни для всех</w:t>
            </w:r>
          </w:p>
        </w:tc>
        <w:tc>
          <w:tcPr>
            <w:tcW w:w="3402" w:type="dxa"/>
          </w:tcPr>
          <w:p w:rsidR="004447AB" w:rsidRPr="00C84171" w:rsidRDefault="004447AB" w:rsidP="004447AB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171">
              <w:rPr>
                <w:color w:val="000000"/>
                <w:sz w:val="20"/>
                <w:szCs w:val="20"/>
              </w:rPr>
              <w:t>4.7. К 2030 г. обеспечить всем учащимся приобретение знаний и навыков, необходимых для содействия устойчивому развитию, в том числе среди других людей посредством образования в интересах устойчивого развития и устойчивого образа жизни,</w:t>
            </w:r>
            <w:r w:rsidR="00904462">
              <w:rPr>
                <w:color w:val="000000"/>
                <w:sz w:val="20"/>
                <w:szCs w:val="20"/>
              </w:rPr>
              <w:t xml:space="preserve"> </w:t>
            </w:r>
            <w:r w:rsidRPr="00C84171">
              <w:rPr>
                <w:color w:val="000000"/>
                <w:sz w:val="20"/>
                <w:szCs w:val="20"/>
              </w:rPr>
              <w:t>— права человека, гендерное равенство, развитие культуры мира и ненасилия, глобального гражданства, а также понимание культурного разнообразия и вклад культуры в обеспечение устойчивого развития.</w:t>
            </w:r>
          </w:p>
        </w:tc>
        <w:tc>
          <w:tcPr>
            <w:tcW w:w="3827" w:type="dxa"/>
          </w:tcPr>
          <w:p w:rsidR="004447AB" w:rsidRPr="00C84171" w:rsidRDefault="004447AB" w:rsidP="004447AB">
            <w:pPr>
              <w:ind w:firstLine="0"/>
              <w:rPr>
                <w:sz w:val="20"/>
                <w:szCs w:val="20"/>
              </w:rPr>
            </w:pPr>
            <w:r w:rsidRPr="00C84171">
              <w:rPr>
                <w:color w:val="000000"/>
                <w:sz w:val="20"/>
                <w:szCs w:val="20"/>
              </w:rPr>
              <w:t>Процент учебных часов, отведенный художественному образованию по отношению к общему количество учебных часов в течение первых двух лет обучения в средней школе (классы 7-8).</w:t>
            </w:r>
          </w:p>
          <w:p w:rsidR="004447AB" w:rsidRPr="00C84171" w:rsidRDefault="004447AB" w:rsidP="004447AB">
            <w:pPr>
              <w:ind w:firstLine="0"/>
              <w:rPr>
                <w:sz w:val="20"/>
                <w:szCs w:val="20"/>
              </w:rPr>
            </w:pPr>
            <w:r w:rsidRPr="00C84171">
              <w:rPr>
                <w:color w:val="000000"/>
                <w:sz w:val="20"/>
                <w:szCs w:val="20"/>
              </w:rPr>
              <w:t>Доля штатных сотрудников в системе начального и среднего образования, имеющих специальную подготовку в художественной или культурологической дисциплинах.</w:t>
            </w:r>
          </w:p>
          <w:p w:rsidR="004447AB" w:rsidRPr="00C84171" w:rsidRDefault="004447AB" w:rsidP="004447AB">
            <w:pPr>
              <w:ind w:firstLine="0"/>
              <w:rPr>
                <w:sz w:val="20"/>
                <w:szCs w:val="20"/>
              </w:rPr>
            </w:pPr>
            <w:r w:rsidRPr="00C84171">
              <w:rPr>
                <w:color w:val="000000"/>
                <w:sz w:val="20"/>
                <w:szCs w:val="20"/>
              </w:rPr>
              <w:t>Процент начальных и средних государственных школ, которые имеют библиотеку.</w:t>
            </w:r>
          </w:p>
          <w:p w:rsidR="004447AB" w:rsidRPr="00C84171" w:rsidRDefault="004447AB" w:rsidP="004447AB">
            <w:pPr>
              <w:ind w:firstLine="0"/>
              <w:rPr>
                <w:sz w:val="20"/>
                <w:szCs w:val="20"/>
              </w:rPr>
            </w:pPr>
            <w:r w:rsidRPr="00C84171">
              <w:rPr>
                <w:color w:val="000000"/>
                <w:sz w:val="20"/>
                <w:szCs w:val="20"/>
              </w:rPr>
              <w:t>Процент населения, принявшего участие, по крайней мере один раз, в проходившем культурном мероприятии в течение последних 12 месяцев.</w:t>
            </w:r>
          </w:p>
          <w:p w:rsidR="004447AB" w:rsidRPr="00C84171" w:rsidRDefault="004447AB" w:rsidP="004447AB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171">
              <w:rPr>
                <w:color w:val="000000"/>
                <w:sz w:val="20"/>
                <w:szCs w:val="20"/>
              </w:rPr>
              <w:t xml:space="preserve">Глобальный культурный индекс участия – </w:t>
            </w:r>
            <w:r w:rsidRPr="00C84171">
              <w:rPr>
                <w:color w:val="000000"/>
                <w:sz w:val="20"/>
                <w:szCs w:val="20"/>
                <w:lang w:val="en-US"/>
              </w:rPr>
              <w:t>Global</w:t>
            </w:r>
            <w:r w:rsidRPr="00C84171">
              <w:rPr>
                <w:color w:val="000000"/>
                <w:sz w:val="20"/>
                <w:szCs w:val="20"/>
              </w:rPr>
              <w:t xml:space="preserve"> </w:t>
            </w:r>
            <w:r w:rsidRPr="00C84171">
              <w:rPr>
                <w:color w:val="000000"/>
                <w:sz w:val="20"/>
                <w:szCs w:val="20"/>
                <w:lang w:val="en-US"/>
              </w:rPr>
              <w:t>Cultural</w:t>
            </w:r>
            <w:r w:rsidRPr="00C84171">
              <w:rPr>
                <w:color w:val="000000"/>
                <w:sz w:val="20"/>
                <w:szCs w:val="20"/>
              </w:rPr>
              <w:t xml:space="preserve"> </w:t>
            </w:r>
            <w:r w:rsidRPr="00C84171">
              <w:rPr>
                <w:color w:val="000000"/>
                <w:sz w:val="20"/>
                <w:szCs w:val="20"/>
                <w:lang w:val="en-US"/>
              </w:rPr>
              <w:t>Participation</w:t>
            </w:r>
            <w:r w:rsidRPr="00C84171">
              <w:rPr>
                <w:color w:val="000000"/>
                <w:sz w:val="20"/>
                <w:szCs w:val="20"/>
              </w:rPr>
              <w:t xml:space="preserve"> </w:t>
            </w:r>
            <w:r w:rsidRPr="00C84171">
              <w:rPr>
                <w:color w:val="000000"/>
                <w:sz w:val="20"/>
                <w:szCs w:val="20"/>
                <w:lang w:val="en-US"/>
              </w:rPr>
              <w:t>Index</w:t>
            </w:r>
            <w:r w:rsidRPr="00C84171">
              <w:rPr>
                <w:color w:val="000000"/>
                <w:sz w:val="20"/>
                <w:szCs w:val="20"/>
              </w:rPr>
              <w:t xml:space="preserve"> – (и связанные с ним индикаторы).</w:t>
            </w:r>
          </w:p>
        </w:tc>
      </w:tr>
      <w:tr w:rsidR="00C84171" w:rsidRPr="00C84171" w:rsidTr="00CA745E">
        <w:tc>
          <w:tcPr>
            <w:tcW w:w="2518" w:type="dxa"/>
            <w:vMerge w:val="restart"/>
          </w:tcPr>
          <w:p w:rsidR="00C84171" w:rsidRPr="00C84171" w:rsidRDefault="00C84171" w:rsidP="00EA36B3">
            <w:pPr>
              <w:ind w:firstLine="0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C84171">
              <w:rPr>
                <w:i/>
                <w:color w:val="000000"/>
                <w:sz w:val="20"/>
                <w:szCs w:val="20"/>
              </w:rPr>
              <w:t>8: Содействие устойчивому и стабильному экономическому росту, полной и продуктивной занятости, достойной работе для всех</w:t>
            </w:r>
          </w:p>
        </w:tc>
        <w:tc>
          <w:tcPr>
            <w:tcW w:w="3402" w:type="dxa"/>
          </w:tcPr>
          <w:p w:rsidR="00C84171" w:rsidRPr="00C84171" w:rsidRDefault="00C84171" w:rsidP="00C84171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171">
              <w:rPr>
                <w:color w:val="000000"/>
                <w:sz w:val="20"/>
                <w:szCs w:val="20"/>
              </w:rPr>
              <w:t>8.3.</w:t>
            </w:r>
            <w:r w:rsidRPr="00C8417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84171">
              <w:rPr>
                <w:color w:val="000000"/>
                <w:sz w:val="20"/>
                <w:szCs w:val="20"/>
              </w:rPr>
              <w:t>Стимулирование ориентированных-на-развитие политик, которые поддерживают производственную активность, создание достойных рабочих мест, предпринимательство, креативность и инновации, а также поощрение формирования и роста микро-, малого и среднего предпринимательства, в том числе путем доступа к финансовым услугам.</w:t>
            </w:r>
          </w:p>
        </w:tc>
        <w:tc>
          <w:tcPr>
            <w:tcW w:w="3827" w:type="dxa"/>
          </w:tcPr>
          <w:p w:rsidR="00C84171" w:rsidRPr="00C84171" w:rsidRDefault="00C84171" w:rsidP="00C84171">
            <w:pPr>
              <w:ind w:firstLine="0"/>
              <w:rPr>
                <w:sz w:val="20"/>
                <w:szCs w:val="20"/>
              </w:rPr>
            </w:pPr>
            <w:r w:rsidRPr="00C84171">
              <w:rPr>
                <w:color w:val="000000"/>
                <w:sz w:val="20"/>
                <w:szCs w:val="20"/>
              </w:rPr>
              <w:t>Процент лиц, занятых в сфере культуры из общего количества занятого населения.</w:t>
            </w:r>
          </w:p>
          <w:p w:rsidR="00C84171" w:rsidRPr="00C84171" w:rsidRDefault="00C84171" w:rsidP="00C84171">
            <w:pPr>
              <w:ind w:firstLine="0"/>
              <w:rPr>
                <w:sz w:val="20"/>
                <w:szCs w:val="20"/>
              </w:rPr>
            </w:pPr>
            <w:r w:rsidRPr="00C84171">
              <w:rPr>
                <w:color w:val="000000"/>
                <w:sz w:val="20"/>
                <w:szCs w:val="20"/>
              </w:rPr>
              <w:t>Процент рамочных программ ООН по содействию развитию, Национальных планов развития и местных планов развития, которые включают культуру.</w:t>
            </w:r>
          </w:p>
          <w:p w:rsidR="00C84171" w:rsidRPr="00C84171" w:rsidRDefault="00C84171" w:rsidP="00C84171">
            <w:pPr>
              <w:ind w:firstLine="0"/>
              <w:rPr>
                <w:sz w:val="20"/>
                <w:szCs w:val="20"/>
              </w:rPr>
            </w:pPr>
            <w:r w:rsidRPr="00C84171">
              <w:rPr>
                <w:color w:val="000000"/>
                <w:sz w:val="20"/>
                <w:szCs w:val="20"/>
              </w:rPr>
              <w:t>Процент доли вклада творческих и культурных мероприятий в валовый внутренний продукт.</w:t>
            </w:r>
          </w:p>
          <w:p w:rsidR="00C84171" w:rsidRPr="00C84171" w:rsidRDefault="00C84171" w:rsidP="00C84171">
            <w:pPr>
              <w:ind w:firstLine="0"/>
              <w:rPr>
                <w:sz w:val="20"/>
                <w:szCs w:val="20"/>
              </w:rPr>
            </w:pPr>
            <w:r w:rsidRPr="00C84171">
              <w:rPr>
                <w:color w:val="000000"/>
                <w:sz w:val="20"/>
                <w:szCs w:val="20"/>
              </w:rPr>
              <w:t>Индекс согласованности и охвата технического и профессионального образования и подготовки кадров (ТПО) и системы высшего образования в области культуры и искусства.</w:t>
            </w:r>
          </w:p>
          <w:p w:rsidR="00C84171" w:rsidRPr="00C84171" w:rsidRDefault="00C84171" w:rsidP="00C84171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171">
              <w:rPr>
                <w:color w:val="000000"/>
                <w:sz w:val="20"/>
                <w:szCs w:val="20"/>
              </w:rPr>
              <w:t>Процент стран, которые применили или приняли специальные налоговые и законы социальной защиты, а также меры для поддержки самозанятых художников (работников искусств), в соответствии с Рекомендациями ЮНЕСКО 1980 г. о статусе художника (работника искусств).</w:t>
            </w:r>
          </w:p>
        </w:tc>
      </w:tr>
      <w:tr w:rsidR="00C84171" w:rsidRPr="00C84171" w:rsidTr="00CA745E">
        <w:tc>
          <w:tcPr>
            <w:tcW w:w="2518" w:type="dxa"/>
            <w:vMerge/>
          </w:tcPr>
          <w:p w:rsidR="00C84171" w:rsidRPr="00C84171" w:rsidRDefault="00C84171" w:rsidP="00EA36B3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C84171" w:rsidRPr="00C84171" w:rsidRDefault="00C84171" w:rsidP="00C84171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171">
              <w:rPr>
                <w:color w:val="000000"/>
                <w:sz w:val="20"/>
                <w:szCs w:val="20"/>
              </w:rPr>
              <w:t>8.9. К 2030 г. разработать и осуществлять политики в целях содействия устойчивому развитию туризма, который создает рабочие места, содействует продвижению местной культуры и продуктов.</w:t>
            </w:r>
          </w:p>
        </w:tc>
        <w:tc>
          <w:tcPr>
            <w:tcW w:w="3827" w:type="dxa"/>
          </w:tcPr>
          <w:p w:rsidR="00C84171" w:rsidRPr="00C84171" w:rsidRDefault="00C84171" w:rsidP="00C84171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171">
              <w:rPr>
                <w:color w:val="000000"/>
                <w:sz w:val="20"/>
                <w:szCs w:val="20"/>
              </w:rPr>
              <w:t>Процент национальных и местных органов власти, которые интегрируют «специфическую культурную оценку воздействия» в качестве предварительного условия всех планов развития туризма.</w:t>
            </w:r>
          </w:p>
        </w:tc>
      </w:tr>
      <w:tr w:rsidR="004447AB" w:rsidRPr="00C84171" w:rsidTr="00CA745E">
        <w:tc>
          <w:tcPr>
            <w:tcW w:w="2518" w:type="dxa"/>
          </w:tcPr>
          <w:p w:rsidR="004447AB" w:rsidRPr="00C84171" w:rsidRDefault="00C84171" w:rsidP="00EA36B3">
            <w:pPr>
              <w:ind w:firstLine="0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C84171">
              <w:rPr>
                <w:i/>
                <w:color w:val="000000"/>
                <w:sz w:val="20"/>
                <w:szCs w:val="20"/>
              </w:rPr>
              <w:t>9: Построить гибкую инфраструктуру, содействовать всесторонней и устойчивой индустриализации и стимулировать инновации</w:t>
            </w:r>
          </w:p>
        </w:tc>
        <w:tc>
          <w:tcPr>
            <w:tcW w:w="3402" w:type="dxa"/>
          </w:tcPr>
          <w:p w:rsidR="004447AB" w:rsidRPr="00C84171" w:rsidRDefault="00C84171" w:rsidP="00C84171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171">
              <w:rPr>
                <w:color w:val="000000"/>
                <w:sz w:val="20"/>
                <w:szCs w:val="20"/>
              </w:rPr>
              <w:t>9.b. Поддерживать развитие местной технологии, исследования и инновации в развивающихся странах в том числе путем обеспечения политики благоприятной среды в частности для промышленной диверсификации и добавленной стоимости к товарам.</w:t>
            </w:r>
          </w:p>
        </w:tc>
        <w:tc>
          <w:tcPr>
            <w:tcW w:w="3827" w:type="dxa"/>
          </w:tcPr>
          <w:p w:rsidR="004447AB" w:rsidRPr="00C84171" w:rsidRDefault="00C84171" w:rsidP="00C84171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171">
              <w:rPr>
                <w:color w:val="000000"/>
                <w:sz w:val="20"/>
                <w:szCs w:val="20"/>
              </w:rPr>
              <w:t>Число стран, которые внедрили национальную стратегию развития творческих отраслей (</w:t>
            </w:r>
            <w:r w:rsidRPr="00C84171">
              <w:rPr>
                <w:color w:val="000000"/>
                <w:sz w:val="20"/>
                <w:szCs w:val="20"/>
                <w:lang w:val="en-US"/>
              </w:rPr>
              <w:t>creative</w:t>
            </w:r>
            <w:r w:rsidRPr="00C84171">
              <w:rPr>
                <w:color w:val="000000"/>
                <w:sz w:val="20"/>
                <w:szCs w:val="20"/>
              </w:rPr>
              <w:t xml:space="preserve"> </w:t>
            </w:r>
            <w:r w:rsidRPr="00C84171">
              <w:rPr>
                <w:color w:val="000000"/>
                <w:sz w:val="20"/>
                <w:szCs w:val="20"/>
                <w:lang w:val="en-US"/>
              </w:rPr>
              <w:t>industries</w:t>
            </w:r>
            <w:r w:rsidRPr="00C84171">
              <w:rPr>
                <w:color w:val="000000"/>
                <w:sz w:val="20"/>
                <w:szCs w:val="20"/>
              </w:rPr>
              <w:t>).</w:t>
            </w:r>
          </w:p>
        </w:tc>
      </w:tr>
      <w:tr w:rsidR="00C84171" w:rsidRPr="00C84171" w:rsidTr="00CA745E">
        <w:tc>
          <w:tcPr>
            <w:tcW w:w="2518" w:type="dxa"/>
            <w:vMerge w:val="restart"/>
          </w:tcPr>
          <w:p w:rsidR="00C84171" w:rsidRPr="00C75088" w:rsidRDefault="00C84171" w:rsidP="00EA36B3">
            <w:pPr>
              <w:ind w:firstLine="0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C75088">
              <w:rPr>
                <w:i/>
                <w:color w:val="000000"/>
                <w:sz w:val="20"/>
                <w:szCs w:val="20"/>
              </w:rPr>
              <w:t>11: Сделать города и населенные пункты включенными, безопасными, стойкими и устойчивыми</w:t>
            </w:r>
          </w:p>
        </w:tc>
        <w:tc>
          <w:tcPr>
            <w:tcW w:w="3402" w:type="dxa"/>
          </w:tcPr>
          <w:p w:rsidR="00C84171" w:rsidRPr="00C84171" w:rsidRDefault="00C84171" w:rsidP="00C84171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171">
              <w:rPr>
                <w:color w:val="000000"/>
                <w:sz w:val="20"/>
                <w:szCs w:val="20"/>
              </w:rPr>
              <w:t xml:space="preserve">11.3. К 2030 г. увеличить инклюзивную и устойчивую урбанизацию и возможности для интегрированного устойчивого планирования и управления </w:t>
            </w:r>
            <w:r w:rsidRPr="00C84171">
              <w:rPr>
                <w:color w:val="000000"/>
                <w:sz w:val="20"/>
                <w:szCs w:val="20"/>
              </w:rPr>
              <w:lastRenderedPageBreak/>
              <w:t>городскими поселениями во всех странах.</w:t>
            </w:r>
          </w:p>
        </w:tc>
        <w:tc>
          <w:tcPr>
            <w:tcW w:w="3827" w:type="dxa"/>
          </w:tcPr>
          <w:p w:rsidR="00C84171" w:rsidRPr="00C84171" w:rsidRDefault="00C84171" w:rsidP="00C84171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171">
              <w:rPr>
                <w:color w:val="000000"/>
                <w:sz w:val="20"/>
                <w:szCs w:val="20"/>
              </w:rPr>
              <w:lastRenderedPageBreak/>
              <w:t>Процент национальных и местных планов развития городов, которые интегрировали специфическую «оценку культурного вклада».</w:t>
            </w:r>
          </w:p>
        </w:tc>
      </w:tr>
      <w:tr w:rsidR="00C84171" w:rsidRPr="00C84171" w:rsidTr="00CA745E">
        <w:tc>
          <w:tcPr>
            <w:tcW w:w="2518" w:type="dxa"/>
            <w:vMerge/>
          </w:tcPr>
          <w:p w:rsidR="00C84171" w:rsidRPr="00C84171" w:rsidRDefault="00C84171" w:rsidP="00EA36B3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C84171" w:rsidRPr="00C84171" w:rsidRDefault="00C84171" w:rsidP="00C84171">
            <w:pPr>
              <w:ind w:firstLine="0"/>
              <w:rPr>
                <w:sz w:val="20"/>
                <w:szCs w:val="20"/>
              </w:rPr>
            </w:pPr>
            <w:r w:rsidRPr="00C84171">
              <w:rPr>
                <w:color w:val="000000"/>
                <w:sz w:val="20"/>
                <w:szCs w:val="20"/>
              </w:rPr>
              <w:t>11.4. Активизировать усилия по защите и охране всемирного культурного и природного наследия.</w:t>
            </w:r>
          </w:p>
          <w:p w:rsidR="00C84171" w:rsidRPr="00C84171" w:rsidRDefault="00C84171" w:rsidP="00C84171">
            <w:pPr>
              <w:ind w:firstLine="0"/>
              <w:rPr>
                <w:i/>
                <w:color w:val="000000"/>
                <w:sz w:val="20"/>
                <w:szCs w:val="20"/>
              </w:rPr>
            </w:pPr>
            <w:r w:rsidRPr="00C84171">
              <w:rPr>
                <w:i/>
                <w:color w:val="000000"/>
                <w:sz w:val="20"/>
                <w:szCs w:val="20"/>
              </w:rPr>
              <w:t>Мы предлагаем рассмотреть возможную альтернативную формулировку, которая лучше отражает способы, благодаря которым культура может влиять наповышение инклюзивности, безопасности, пластичности и устойчивости городов и поселений. Она выглядит следующим образом:</w:t>
            </w:r>
          </w:p>
          <w:p w:rsidR="00C84171" w:rsidRPr="00C84171" w:rsidRDefault="00C84171" w:rsidP="00C84171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171">
              <w:rPr>
                <w:color w:val="000000"/>
                <w:sz w:val="20"/>
                <w:szCs w:val="20"/>
              </w:rPr>
              <w:t>К 2030 году увеличить количество городов, которые включают охрану культурного и природного наследия и продвижение креативности и культурного разнообразия в планах, программах и политиках для устойчивого развития.</w:t>
            </w:r>
          </w:p>
        </w:tc>
        <w:tc>
          <w:tcPr>
            <w:tcW w:w="3827" w:type="dxa"/>
          </w:tcPr>
          <w:p w:rsidR="00C84171" w:rsidRPr="00C84171" w:rsidRDefault="00C84171" w:rsidP="00C84171">
            <w:pPr>
              <w:ind w:firstLine="0"/>
              <w:rPr>
                <w:sz w:val="20"/>
                <w:szCs w:val="20"/>
              </w:rPr>
            </w:pPr>
            <w:r w:rsidRPr="00C84171">
              <w:rPr>
                <w:color w:val="000000"/>
                <w:sz w:val="20"/>
                <w:szCs w:val="20"/>
              </w:rPr>
              <w:t>Количество и распределение выявленных предметов культурного и природного наследия (участки и артефакты).</w:t>
            </w:r>
          </w:p>
          <w:p w:rsidR="00C84171" w:rsidRPr="00C84171" w:rsidRDefault="00C84171" w:rsidP="00C84171">
            <w:pPr>
              <w:ind w:firstLine="0"/>
              <w:rPr>
                <w:sz w:val="20"/>
                <w:szCs w:val="20"/>
              </w:rPr>
            </w:pPr>
            <w:r w:rsidRPr="00C84171">
              <w:rPr>
                <w:color w:val="000000"/>
                <w:sz w:val="20"/>
                <w:szCs w:val="20"/>
              </w:rPr>
              <w:t>Количество природных и культурных ценностей наследия, находящихся под угрозой.</w:t>
            </w:r>
          </w:p>
          <w:p w:rsidR="00C84171" w:rsidRPr="00C84171" w:rsidRDefault="00C84171" w:rsidP="00C84171">
            <w:pPr>
              <w:ind w:firstLine="0"/>
              <w:rPr>
                <w:sz w:val="20"/>
                <w:szCs w:val="20"/>
              </w:rPr>
            </w:pPr>
            <w:r w:rsidRPr="00C84171">
              <w:rPr>
                <w:color w:val="000000"/>
                <w:sz w:val="20"/>
                <w:szCs w:val="20"/>
              </w:rPr>
              <w:t>Количество публичных библиотек на 1000 жителей.</w:t>
            </w:r>
          </w:p>
          <w:p w:rsidR="00C84171" w:rsidRPr="00C84171" w:rsidRDefault="00C84171" w:rsidP="00C84171">
            <w:pPr>
              <w:ind w:firstLine="0"/>
              <w:rPr>
                <w:sz w:val="20"/>
                <w:szCs w:val="20"/>
              </w:rPr>
            </w:pPr>
            <w:r w:rsidRPr="00C84171">
              <w:rPr>
                <w:color w:val="000000"/>
                <w:sz w:val="20"/>
                <w:szCs w:val="20"/>
              </w:rPr>
              <w:t>Процент бюджета, выделенного на сохранение культурных и природных ресурсов.</w:t>
            </w:r>
          </w:p>
          <w:p w:rsidR="00C84171" w:rsidRPr="00C84171" w:rsidRDefault="00C84171" w:rsidP="00C84171">
            <w:pPr>
              <w:ind w:firstLine="0"/>
              <w:rPr>
                <w:sz w:val="20"/>
                <w:szCs w:val="20"/>
              </w:rPr>
            </w:pPr>
            <w:r w:rsidRPr="00C84171">
              <w:rPr>
                <w:color w:val="000000"/>
                <w:sz w:val="20"/>
                <w:szCs w:val="20"/>
              </w:rPr>
              <w:t>Индекс развития в рамках многомерного измерения устойчивости наследия.</w:t>
            </w:r>
          </w:p>
          <w:p w:rsidR="00C84171" w:rsidRPr="00C84171" w:rsidRDefault="00C84171" w:rsidP="00C84171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171">
              <w:rPr>
                <w:color w:val="000000"/>
                <w:sz w:val="20"/>
                <w:szCs w:val="20"/>
              </w:rPr>
              <w:t>Доля городов, имеющих интегрированные городские политики для защиты и охраны культурного и природного наследия.</w:t>
            </w:r>
          </w:p>
        </w:tc>
      </w:tr>
      <w:tr w:rsidR="00C84171" w:rsidRPr="00C84171" w:rsidTr="00CA745E">
        <w:tc>
          <w:tcPr>
            <w:tcW w:w="2518" w:type="dxa"/>
            <w:vMerge/>
          </w:tcPr>
          <w:p w:rsidR="00C84171" w:rsidRPr="00C84171" w:rsidRDefault="00C84171" w:rsidP="00EA36B3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C84171" w:rsidRPr="00C84171" w:rsidRDefault="00C84171" w:rsidP="00C84171">
            <w:pPr>
              <w:ind w:firstLine="0"/>
              <w:rPr>
                <w:sz w:val="20"/>
                <w:szCs w:val="20"/>
              </w:rPr>
            </w:pPr>
            <w:r w:rsidRPr="00C84171">
              <w:rPr>
                <w:color w:val="000000"/>
                <w:sz w:val="20"/>
                <w:szCs w:val="20"/>
              </w:rPr>
              <w:t>11.7. К 2030 г. обеспечить всеобщий доступ к безопасным, открытым и доступным, зеленым и общественным местам, особенно для женщин и детей, пожилых людей и инвалидов.</w:t>
            </w:r>
          </w:p>
          <w:p w:rsidR="00C84171" w:rsidRPr="00C84171" w:rsidRDefault="00C84171" w:rsidP="00EA36B3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C84171" w:rsidRPr="00C84171" w:rsidRDefault="00C84171" w:rsidP="00C84171">
            <w:pPr>
              <w:ind w:firstLine="0"/>
              <w:rPr>
                <w:sz w:val="20"/>
                <w:szCs w:val="20"/>
              </w:rPr>
            </w:pPr>
            <w:r w:rsidRPr="00C84171">
              <w:rPr>
                <w:color w:val="000000"/>
                <w:sz w:val="20"/>
                <w:szCs w:val="20"/>
              </w:rPr>
              <w:t>Доля городских земель, выделенных для общественных открытых пространств (улицы, площади, сады, парки и т.д.), от общей площади городской земли.</w:t>
            </w:r>
          </w:p>
          <w:p w:rsidR="00C84171" w:rsidRPr="00C84171" w:rsidRDefault="00C84171" w:rsidP="00EA36B3">
            <w:pPr>
              <w:ind w:firstLine="0"/>
              <w:rPr>
                <w:sz w:val="20"/>
                <w:szCs w:val="20"/>
              </w:rPr>
            </w:pPr>
            <w:r w:rsidRPr="00C84171">
              <w:rPr>
                <w:color w:val="000000"/>
                <w:sz w:val="20"/>
                <w:szCs w:val="20"/>
              </w:rPr>
              <w:t>Доля городских земель, выделенных под укрытые общественные объекты (библиотеки, музеи и т.д.), от общей площади городской земли.</w:t>
            </w:r>
          </w:p>
        </w:tc>
      </w:tr>
      <w:tr w:rsidR="00C84171" w:rsidRPr="00C84171" w:rsidTr="00CA745E">
        <w:tc>
          <w:tcPr>
            <w:tcW w:w="2518" w:type="dxa"/>
          </w:tcPr>
          <w:p w:rsidR="00C84171" w:rsidRPr="00C75088" w:rsidRDefault="00C84171" w:rsidP="00EA36B3">
            <w:pPr>
              <w:ind w:firstLine="0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C75088">
              <w:rPr>
                <w:i/>
                <w:color w:val="000000"/>
                <w:sz w:val="20"/>
                <w:szCs w:val="20"/>
              </w:rPr>
              <w:t>12: Обеспечение устойчивых моделей производства и потребления</w:t>
            </w:r>
          </w:p>
        </w:tc>
        <w:tc>
          <w:tcPr>
            <w:tcW w:w="3402" w:type="dxa"/>
          </w:tcPr>
          <w:p w:rsidR="00C84171" w:rsidRPr="00C84171" w:rsidRDefault="00C84171" w:rsidP="00C84171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171">
              <w:rPr>
                <w:color w:val="000000"/>
                <w:sz w:val="20"/>
                <w:szCs w:val="20"/>
              </w:rPr>
              <w:t>12.b. Разработка и внедрение инструментов для мониторинга воздействий устойчивого развития на устойчивый туризм, который создает рабочие места, способствует продвижению местной культуры и продуктов.</w:t>
            </w:r>
          </w:p>
        </w:tc>
        <w:tc>
          <w:tcPr>
            <w:tcW w:w="3827" w:type="dxa"/>
          </w:tcPr>
          <w:p w:rsidR="00C84171" w:rsidRPr="00C84171" w:rsidRDefault="00C84171" w:rsidP="00EA36B3">
            <w:pPr>
              <w:ind w:firstLine="0"/>
              <w:rPr>
                <w:sz w:val="20"/>
                <w:szCs w:val="20"/>
              </w:rPr>
            </w:pPr>
            <w:r w:rsidRPr="00C84171">
              <w:rPr>
                <w:color w:val="000000"/>
                <w:sz w:val="20"/>
                <w:szCs w:val="20"/>
              </w:rPr>
              <w:t>Процент национальных и местных стратегий устойчивого развития туризма, которые интегрируют главу о культуре.</w:t>
            </w:r>
          </w:p>
        </w:tc>
      </w:tr>
      <w:tr w:rsidR="00C84171" w:rsidRPr="00C84171" w:rsidTr="00CA745E">
        <w:tc>
          <w:tcPr>
            <w:tcW w:w="2518" w:type="dxa"/>
          </w:tcPr>
          <w:p w:rsidR="00C84171" w:rsidRPr="00C75088" w:rsidRDefault="00C84171" w:rsidP="00C84171">
            <w:pPr>
              <w:ind w:firstLine="0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C75088">
              <w:rPr>
                <w:i/>
                <w:color w:val="000000"/>
                <w:sz w:val="20"/>
                <w:szCs w:val="20"/>
              </w:rPr>
              <w:t>13: Принять срочные меры по борьбе с изменением климата и его влияниями</w:t>
            </w:r>
          </w:p>
        </w:tc>
        <w:tc>
          <w:tcPr>
            <w:tcW w:w="3402" w:type="dxa"/>
          </w:tcPr>
          <w:p w:rsidR="00C84171" w:rsidRPr="00C84171" w:rsidRDefault="00C84171" w:rsidP="00C84171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171">
              <w:rPr>
                <w:color w:val="000000"/>
                <w:sz w:val="20"/>
                <w:szCs w:val="20"/>
              </w:rPr>
              <w:t>13.1. Укрепление устойчивости и адаптивных возможностей к угрозам, связанным с климатом и природными стихийными бедствиями во всех странах.</w:t>
            </w:r>
          </w:p>
        </w:tc>
        <w:tc>
          <w:tcPr>
            <w:tcW w:w="3827" w:type="dxa"/>
          </w:tcPr>
          <w:p w:rsidR="00C84171" w:rsidRPr="00C84171" w:rsidRDefault="00C84171" w:rsidP="00EA36B3">
            <w:pPr>
              <w:ind w:firstLine="0"/>
              <w:rPr>
                <w:sz w:val="20"/>
                <w:szCs w:val="20"/>
              </w:rPr>
            </w:pPr>
            <w:r w:rsidRPr="00C84171">
              <w:rPr>
                <w:color w:val="000000"/>
                <w:sz w:val="20"/>
                <w:szCs w:val="20"/>
              </w:rPr>
              <w:t>Процент национальных и местных стратегий в области изменения климата, которые учитывают роль культурных аспектов в продвижении экологической устойчивости.</w:t>
            </w:r>
          </w:p>
        </w:tc>
      </w:tr>
      <w:tr w:rsidR="00C84171" w:rsidRPr="00C84171" w:rsidTr="00CA745E">
        <w:tc>
          <w:tcPr>
            <w:tcW w:w="2518" w:type="dxa"/>
          </w:tcPr>
          <w:p w:rsidR="00C84171" w:rsidRPr="00C75088" w:rsidRDefault="00C84171" w:rsidP="00C84171">
            <w:pPr>
              <w:ind w:firstLine="0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C75088">
              <w:rPr>
                <w:i/>
                <w:color w:val="000000"/>
                <w:sz w:val="20"/>
                <w:szCs w:val="20"/>
              </w:rPr>
              <w:t>16: Способствовать развитию мирных и инклюзивных обществ в интересах устойчивого развития, обеспечить доступ к правосудию для всех и строить эффективные, подотчетные и инклюзивные институты на всех уровнях</w:t>
            </w:r>
          </w:p>
        </w:tc>
        <w:tc>
          <w:tcPr>
            <w:tcW w:w="3402" w:type="dxa"/>
          </w:tcPr>
          <w:p w:rsidR="00C84171" w:rsidRPr="00C84171" w:rsidRDefault="00C84171" w:rsidP="00EA36B3">
            <w:pPr>
              <w:ind w:firstLine="0"/>
              <w:rPr>
                <w:sz w:val="20"/>
                <w:szCs w:val="20"/>
              </w:rPr>
            </w:pPr>
            <w:r w:rsidRPr="00C84171">
              <w:rPr>
                <w:color w:val="000000"/>
                <w:sz w:val="20"/>
                <w:szCs w:val="20"/>
              </w:rPr>
              <w:t>16.10. Обеспечить доступ общественности к информации и защитить основные свободы в соответствии с национальным законодательством и международными соглашениями.</w:t>
            </w:r>
          </w:p>
        </w:tc>
        <w:tc>
          <w:tcPr>
            <w:tcW w:w="3827" w:type="dxa"/>
          </w:tcPr>
          <w:p w:rsidR="00C84171" w:rsidRPr="00C84171" w:rsidRDefault="00C84171" w:rsidP="00C84171">
            <w:pPr>
              <w:ind w:firstLine="0"/>
              <w:rPr>
                <w:sz w:val="20"/>
                <w:szCs w:val="20"/>
              </w:rPr>
            </w:pPr>
            <w:r w:rsidRPr="00C84171">
              <w:rPr>
                <w:color w:val="000000"/>
                <w:sz w:val="20"/>
                <w:szCs w:val="20"/>
              </w:rPr>
              <w:t>Наличие всеобъемлющего закона и правового режима, который обеспечивает право доступа к информации от государственных органов, основанного на международных стандартах.</w:t>
            </w:r>
          </w:p>
          <w:p w:rsidR="00C84171" w:rsidRPr="00C84171" w:rsidRDefault="00C84171" w:rsidP="00C84171">
            <w:pPr>
              <w:ind w:firstLine="0"/>
              <w:rPr>
                <w:sz w:val="20"/>
                <w:szCs w:val="20"/>
              </w:rPr>
            </w:pPr>
            <w:r w:rsidRPr="00C84171">
              <w:rPr>
                <w:color w:val="000000"/>
                <w:sz w:val="20"/>
                <w:szCs w:val="20"/>
              </w:rPr>
              <w:t>Правовые режимы, обеспечивающие соблюдение международных стандартов в области свободы выражения мнений, ассоциации и собраний.</w:t>
            </w:r>
          </w:p>
          <w:p w:rsidR="00C84171" w:rsidRPr="00C84171" w:rsidRDefault="00C84171" w:rsidP="00C84171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171">
              <w:rPr>
                <w:color w:val="000000"/>
                <w:sz w:val="20"/>
                <w:szCs w:val="20"/>
              </w:rPr>
              <w:t>Процент библиотек, которые регулярно предоставляют специальные учебные занятия по компетенциям медийной и информационной грамотности для обеспечения доступа и использования информации пользователями.</w:t>
            </w:r>
          </w:p>
        </w:tc>
      </w:tr>
    </w:tbl>
    <w:p w:rsidR="00CA38C3" w:rsidRPr="00EF4EB6" w:rsidRDefault="00CA38C3" w:rsidP="00EA36B3">
      <w:pPr>
        <w:rPr>
          <w:rFonts w:eastAsia="Times New Roman"/>
          <w:color w:val="000000"/>
          <w:szCs w:val="28"/>
          <w:lang w:eastAsia="ru-RU"/>
        </w:rPr>
      </w:pPr>
    </w:p>
    <w:p w:rsidR="00CA38C3" w:rsidRPr="00EF4EB6" w:rsidRDefault="00CA38C3" w:rsidP="00EA36B3">
      <w:pPr>
        <w:rPr>
          <w:szCs w:val="28"/>
          <w:lang w:eastAsia="ru-RU"/>
        </w:rPr>
      </w:pPr>
      <w:r w:rsidRPr="00EF4EB6">
        <w:rPr>
          <w:szCs w:val="28"/>
          <w:lang w:eastAsia="ru-RU"/>
        </w:rPr>
        <w:t>С появлением этого документа также началась разработка индикаторов, раскрывающих связь культуры и устойчивого развития различными международными организациями и организациями гражданского общества</w:t>
      </w:r>
      <w:r w:rsidR="00A450D5" w:rsidRPr="00EF4EB6">
        <w:rPr>
          <w:szCs w:val="28"/>
          <w:lang w:eastAsia="ru-RU"/>
        </w:rPr>
        <w:t xml:space="preserve">. Комитетом Союза городов и муниципальных образований (UCLG), продолжающим разработку культурной политики в </w:t>
      </w:r>
      <w:r w:rsidR="00A450D5" w:rsidRPr="00EF4EB6">
        <w:rPr>
          <w:szCs w:val="28"/>
          <w:lang w:eastAsia="ru-RU"/>
        </w:rPr>
        <w:lastRenderedPageBreak/>
        <w:t>рамках «Повестки XXI века для культуры» в 2016 г</w:t>
      </w:r>
      <w:r w:rsidR="00904462">
        <w:rPr>
          <w:szCs w:val="28"/>
          <w:lang w:eastAsia="ru-RU"/>
        </w:rPr>
        <w:t>.</w:t>
      </w:r>
      <w:r w:rsidR="00A450D5" w:rsidRPr="00EF4EB6">
        <w:rPr>
          <w:szCs w:val="28"/>
          <w:lang w:eastAsia="ru-RU"/>
        </w:rPr>
        <w:t xml:space="preserve"> была подготовлена статья под названием «Почему культура должна быть в сердце устойчивого городского развития?» [</w:t>
      </w:r>
      <w:fldSimple w:instr=" REF _Ref524696213 \r \h  \* MERGEFORMAT ">
        <w:r w:rsidR="00F20C62">
          <w:rPr>
            <w:szCs w:val="28"/>
            <w:lang w:eastAsia="ru-RU"/>
          </w:rPr>
          <w:t>4</w:t>
        </w:r>
      </w:fldSimple>
      <w:r w:rsidR="00904462">
        <w:rPr>
          <w:szCs w:val="28"/>
          <w:lang w:eastAsia="ru-RU"/>
        </w:rPr>
        <w:t>,</w:t>
      </w:r>
      <w:r w:rsidR="00A450D5" w:rsidRPr="00EF4EB6">
        <w:rPr>
          <w:szCs w:val="28"/>
          <w:lang w:eastAsia="ru-RU"/>
        </w:rPr>
        <w:t xml:space="preserve"> </w:t>
      </w:r>
      <w:fldSimple w:instr=" REF _Ref524696057 \r \h  \* MERGEFORMAT ">
        <w:r w:rsidR="00F20C62">
          <w:rPr>
            <w:szCs w:val="28"/>
            <w:lang w:eastAsia="ru-RU"/>
          </w:rPr>
          <w:t>5</w:t>
        </w:r>
      </w:fldSimple>
      <w:r w:rsidR="00A450D5" w:rsidRPr="00EF4EB6">
        <w:rPr>
          <w:szCs w:val="28"/>
          <w:lang w:eastAsia="ru-RU"/>
        </w:rPr>
        <w:t>]</w:t>
      </w:r>
      <w:r w:rsidRPr="00EF4EB6">
        <w:rPr>
          <w:szCs w:val="28"/>
          <w:lang w:eastAsia="ru-RU"/>
        </w:rPr>
        <w:t xml:space="preserve">. </w:t>
      </w:r>
    </w:p>
    <w:p w:rsidR="00CA38C3" w:rsidRPr="00EF4EB6" w:rsidRDefault="00CA38C3" w:rsidP="00EA36B3">
      <w:pPr>
        <w:rPr>
          <w:szCs w:val="28"/>
        </w:rPr>
      </w:pPr>
      <w:r w:rsidRPr="00EF4EB6">
        <w:rPr>
          <w:szCs w:val="28"/>
        </w:rPr>
        <w:t xml:space="preserve">Одним из первых, причем еще до принятия решения о пересмотре Повестки дня до 2030 года, </w:t>
      </w:r>
      <w:r w:rsidR="00904462" w:rsidRPr="00EF4EB6">
        <w:rPr>
          <w:szCs w:val="28"/>
        </w:rPr>
        <w:t xml:space="preserve">Комитет </w:t>
      </w:r>
      <w:r w:rsidRPr="00EF4EB6">
        <w:rPr>
          <w:szCs w:val="28"/>
        </w:rPr>
        <w:t xml:space="preserve">по культуре Союза городов и муниципальных образований подготовил </w:t>
      </w:r>
      <w:r w:rsidRPr="00EF4EB6">
        <w:rPr>
          <w:i/>
          <w:szCs w:val="28"/>
        </w:rPr>
        <w:t xml:space="preserve">Рекомендации о том, как использовать на местном уровне принципы Повестки </w:t>
      </w:r>
      <w:r w:rsidRPr="00EF4EB6">
        <w:rPr>
          <w:i/>
          <w:szCs w:val="28"/>
          <w:lang w:val="en-US"/>
        </w:rPr>
        <w:t>XXI</w:t>
      </w:r>
      <w:r w:rsidRPr="00EF4EB6">
        <w:rPr>
          <w:i/>
          <w:szCs w:val="28"/>
        </w:rPr>
        <w:t xml:space="preserve"> века для культуры, цель которых</w:t>
      </w:r>
      <w:r w:rsidR="00904462">
        <w:rPr>
          <w:i/>
          <w:szCs w:val="28"/>
        </w:rPr>
        <w:t xml:space="preserve"> –</w:t>
      </w:r>
      <w:r w:rsidR="00EF4EB6">
        <w:rPr>
          <w:i/>
          <w:szCs w:val="28"/>
        </w:rPr>
        <w:t xml:space="preserve"> </w:t>
      </w:r>
      <w:r w:rsidRPr="00EF4EB6">
        <w:rPr>
          <w:i/>
          <w:szCs w:val="28"/>
        </w:rPr>
        <w:t>облегчить задачу тем городам и муниципальным образованиям, которые официально заявили, что приняли разработанный документ</w:t>
      </w:r>
      <w:r w:rsidR="00A450D5" w:rsidRPr="00EF4EB6">
        <w:rPr>
          <w:i/>
          <w:szCs w:val="28"/>
        </w:rPr>
        <w:t xml:space="preserve"> [</w:t>
      </w:r>
      <w:fldSimple w:instr=" REF _Ref524696213 \r \h  \* MERGEFORMAT ">
        <w:r w:rsidR="00F20C62">
          <w:rPr>
            <w:i/>
            <w:szCs w:val="28"/>
          </w:rPr>
          <w:t>4</w:t>
        </w:r>
      </w:fldSimple>
      <w:r w:rsidR="00A450D5" w:rsidRPr="00EF4EB6">
        <w:rPr>
          <w:i/>
          <w:szCs w:val="28"/>
        </w:rPr>
        <w:t>]</w:t>
      </w:r>
      <w:r w:rsidRPr="00EF4EB6">
        <w:rPr>
          <w:i/>
          <w:szCs w:val="28"/>
        </w:rPr>
        <w:t>.</w:t>
      </w:r>
      <w:r w:rsidRPr="00EF4EB6">
        <w:rPr>
          <w:szCs w:val="28"/>
        </w:rPr>
        <w:t xml:space="preserve"> В эти Рекомендации вошли вопросы культурного планирования, базирующиеся на связи культуры и устойчивого развития, а также на понимании культуры как основы долговременного развития. В них обращено внимание на необходимость </w:t>
      </w:r>
      <w:r w:rsidRPr="00EF4EB6">
        <w:rPr>
          <w:i/>
          <w:szCs w:val="28"/>
        </w:rPr>
        <w:t>оценки культурного воздействия</w:t>
      </w:r>
      <w:r w:rsidRPr="00EF4EB6">
        <w:rPr>
          <w:szCs w:val="28"/>
        </w:rPr>
        <w:t>: это отдельный документ, подготовленный в ходе консультаций с гражданами и культурными профессионалами, анализирующий возможные последствия (как позитивные, так и негативные) реализации конкретных проектов. По мысли авторов документа «оценка культурного воздействия» может стать постоянным процессом</w:t>
      </w:r>
      <w:r w:rsidR="00904462">
        <w:rPr>
          <w:szCs w:val="28"/>
        </w:rPr>
        <w:t xml:space="preserve"> –</w:t>
      </w:r>
      <w:r w:rsidR="00EF4EB6">
        <w:rPr>
          <w:szCs w:val="28"/>
        </w:rPr>
        <w:t xml:space="preserve"> </w:t>
      </w:r>
      <w:r w:rsidRPr="00EF4EB6">
        <w:rPr>
          <w:szCs w:val="28"/>
        </w:rPr>
        <w:t>обязательной экспертизой, сопровождающей разработку любых городских стратегий и планов по устойчивому развитию (п</w:t>
      </w:r>
      <w:r w:rsidR="00904462">
        <w:rPr>
          <w:szCs w:val="28"/>
        </w:rPr>
        <w:t>.</w:t>
      </w:r>
      <w:r w:rsidRPr="00EF4EB6">
        <w:rPr>
          <w:szCs w:val="28"/>
        </w:rPr>
        <w:t xml:space="preserve"> 4.4). Кроме того, в рекомендациях отмечается необходимость </w:t>
      </w:r>
      <w:r w:rsidRPr="00EF4EB6">
        <w:rPr>
          <w:i/>
          <w:szCs w:val="28"/>
        </w:rPr>
        <w:t>учета культурных интересов и запросов людей и организаций, которые находятся на данной территории, включая как тех, кто непосредственно связан с культурой, так и все остальное население</w:t>
      </w:r>
      <w:r w:rsidRPr="00EF4EB6">
        <w:rPr>
          <w:szCs w:val="28"/>
        </w:rPr>
        <w:t xml:space="preserve"> (Раздел 3. Общие положения, п</w:t>
      </w:r>
      <w:r w:rsidR="00904462">
        <w:rPr>
          <w:szCs w:val="28"/>
        </w:rPr>
        <w:t>.</w:t>
      </w:r>
      <w:r w:rsidRPr="00EF4EB6">
        <w:rPr>
          <w:szCs w:val="28"/>
        </w:rPr>
        <w:t xml:space="preserve"> </w:t>
      </w:r>
      <w:r w:rsidRPr="00EF4EB6">
        <w:rPr>
          <w:szCs w:val="28"/>
          <w:lang w:val="en-US"/>
        </w:rPr>
        <w:t>g</w:t>
      </w:r>
      <w:r w:rsidRPr="00EF4EB6">
        <w:rPr>
          <w:szCs w:val="28"/>
        </w:rPr>
        <w:t>), а также обязательность разработки системы культурных индикаторов</w:t>
      </w:r>
      <w:r w:rsidR="00904462">
        <w:rPr>
          <w:szCs w:val="28"/>
        </w:rPr>
        <w:t xml:space="preserve"> –</w:t>
      </w:r>
      <w:r w:rsidR="00EF4EB6">
        <w:rPr>
          <w:szCs w:val="28"/>
        </w:rPr>
        <w:t xml:space="preserve"> </w:t>
      </w:r>
      <w:r w:rsidRPr="00EF4EB6">
        <w:rPr>
          <w:szCs w:val="28"/>
        </w:rPr>
        <w:t>стандартных показателей, позволяющих осуществлять на территориях мониторинг культурных процессов и изменений (там же, п</w:t>
      </w:r>
      <w:r w:rsidR="00904462">
        <w:rPr>
          <w:szCs w:val="28"/>
        </w:rPr>
        <w:t>.</w:t>
      </w:r>
      <w:r w:rsidRPr="00EF4EB6">
        <w:rPr>
          <w:szCs w:val="28"/>
        </w:rPr>
        <w:t xml:space="preserve"> </w:t>
      </w:r>
      <w:r w:rsidRPr="00EF4EB6">
        <w:rPr>
          <w:szCs w:val="28"/>
          <w:lang w:val="en-US"/>
        </w:rPr>
        <w:t>o</w:t>
      </w:r>
      <w:r w:rsidRPr="00EF4EB6">
        <w:rPr>
          <w:szCs w:val="28"/>
        </w:rPr>
        <w:t>).</w:t>
      </w:r>
    </w:p>
    <w:p w:rsidR="00CA38C3" w:rsidRPr="00EF4EB6" w:rsidRDefault="00CA38C3" w:rsidP="00EA36B3">
      <w:pPr>
        <w:rPr>
          <w:szCs w:val="28"/>
          <w:lang w:eastAsia="ru-RU"/>
        </w:rPr>
      </w:pPr>
      <w:r w:rsidRPr="00EF4EB6">
        <w:rPr>
          <w:szCs w:val="28"/>
          <w:lang w:eastAsia="ru-RU"/>
        </w:rPr>
        <w:t>Активную позицию в распространении этих идей и в поддержке роли культуры в устойчивом развитии заняли библиотеки. Международная федерация библиотечных ассоциаций и институтов (ИФЛА) в контексте Повестки дня ООН до 2030 г. выражает свою уверенность в том, что доступ к информации и знанию способствует устойчивому развитию</w:t>
      </w:r>
      <w:r w:rsidR="00EF4EB6">
        <w:rPr>
          <w:szCs w:val="28"/>
          <w:lang w:eastAsia="ru-RU"/>
        </w:rPr>
        <w:t xml:space="preserve"> </w:t>
      </w:r>
      <w:r w:rsidRPr="00EF4EB6">
        <w:rPr>
          <w:szCs w:val="28"/>
          <w:lang w:eastAsia="ru-RU"/>
        </w:rPr>
        <w:t>общества и повышению качества жизни людей</w:t>
      </w:r>
      <w:r w:rsidR="00A450D5" w:rsidRPr="00EF4EB6">
        <w:rPr>
          <w:szCs w:val="28"/>
          <w:lang w:eastAsia="ru-RU"/>
        </w:rPr>
        <w:t xml:space="preserve"> [</w:t>
      </w:r>
      <w:fldSimple w:instr=" REF _Ref524696060 \r \h  \* MERGEFORMAT ">
        <w:r w:rsidR="00F20C62" w:rsidRPr="00F20C62">
          <w:rPr>
            <w:szCs w:val="28"/>
            <w:lang w:eastAsia="ru-RU"/>
          </w:rPr>
          <w:t>6</w:t>
        </w:r>
      </w:fldSimple>
      <w:r w:rsidR="00A450D5" w:rsidRPr="00EF4EB6">
        <w:rPr>
          <w:szCs w:val="28"/>
          <w:lang w:eastAsia="ru-RU"/>
        </w:rPr>
        <w:t>]</w:t>
      </w:r>
      <w:r w:rsidRPr="00EF4EB6">
        <w:rPr>
          <w:szCs w:val="28"/>
          <w:lang w:eastAsia="ru-RU"/>
        </w:rPr>
        <w:t>.</w:t>
      </w:r>
      <w:r w:rsidR="00EF4EB6">
        <w:rPr>
          <w:szCs w:val="28"/>
          <w:lang w:eastAsia="ru-RU"/>
        </w:rPr>
        <w:t xml:space="preserve"> </w:t>
      </w:r>
      <w:r w:rsidRPr="00EF4EB6">
        <w:rPr>
          <w:szCs w:val="28"/>
          <w:lang w:eastAsia="ru-RU"/>
        </w:rPr>
        <w:t>В разработанном ИФЛА Пакете методических материалов для библиотек убедительно прослеживается место и значимость библиотек как учреждений культуры и образования в устойчивом развитии и управлении культурным и человеческим капиталом.</w:t>
      </w:r>
    </w:p>
    <w:p w:rsidR="00904462" w:rsidRPr="00EF4EB6" w:rsidRDefault="00904462" w:rsidP="00904462">
      <w:pPr>
        <w:rPr>
          <w:b/>
          <w:szCs w:val="23"/>
          <w:lang w:eastAsia="ru-RU"/>
        </w:rPr>
      </w:pPr>
      <w:r w:rsidRPr="00EF4EB6">
        <w:rPr>
          <w:b/>
          <w:szCs w:val="23"/>
          <w:lang w:eastAsia="ru-RU"/>
        </w:rPr>
        <w:t>Почему библиотеки важны для развития?</w:t>
      </w:r>
    </w:p>
    <w:p w:rsidR="00904462" w:rsidRPr="00EF4EB6" w:rsidRDefault="00904462" w:rsidP="00904462">
      <w:pPr>
        <w:rPr>
          <w:szCs w:val="23"/>
          <w:lang w:eastAsia="ru-RU"/>
        </w:rPr>
      </w:pPr>
      <w:r w:rsidRPr="00EF4EB6">
        <w:rPr>
          <w:szCs w:val="23"/>
          <w:lang w:eastAsia="ru-RU"/>
        </w:rPr>
        <w:t>Библиотеки являются общественными учреждениями, которые помогают людям осуществлять свое право на получение информации, защищают и предоставляют доступ к культурному наследию. Рост библиотек в развивающейся информационной и культурной среде чрезвычайно важен, как основных организаций, предоставляющих доступ к информации, образованию, исследованиям и общественной активности. Библиотеки:</w:t>
      </w:r>
    </w:p>
    <w:p w:rsidR="00904462" w:rsidRPr="00C75088" w:rsidRDefault="00904462" w:rsidP="00904462">
      <w:pPr>
        <w:pStyle w:val="a8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/>
          <w:szCs w:val="23"/>
          <w:lang w:val="ru-RU" w:eastAsia="ru-RU"/>
        </w:rPr>
      </w:pPr>
      <w:r w:rsidRPr="00C75088">
        <w:rPr>
          <w:rFonts w:ascii="Times New Roman" w:hAnsi="Times New Roman"/>
          <w:szCs w:val="23"/>
          <w:lang w:val="ru-RU" w:eastAsia="ru-RU"/>
        </w:rPr>
        <w:t>поддерживают граждан в принятии взвешенных решений с помощью доступа к информации, навыкам, медийной и информационной грамотности, а также цифровой грамотности;</w:t>
      </w:r>
    </w:p>
    <w:p w:rsidR="00904462" w:rsidRPr="00C75088" w:rsidRDefault="00904462" w:rsidP="00904462">
      <w:pPr>
        <w:pStyle w:val="a8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/>
          <w:szCs w:val="23"/>
          <w:lang w:val="ru-RU" w:eastAsia="ru-RU"/>
        </w:rPr>
      </w:pPr>
      <w:r w:rsidRPr="00C75088">
        <w:rPr>
          <w:rFonts w:ascii="Times New Roman" w:hAnsi="Times New Roman"/>
          <w:szCs w:val="23"/>
          <w:lang w:val="ru-RU" w:eastAsia="ru-RU"/>
        </w:rPr>
        <w:t>оберегают культурное наследие для современного и будущего поколений;</w:t>
      </w:r>
    </w:p>
    <w:p w:rsidR="00904462" w:rsidRPr="00C75088" w:rsidRDefault="00904462" w:rsidP="00904462">
      <w:pPr>
        <w:pStyle w:val="a8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/>
          <w:szCs w:val="23"/>
          <w:lang w:val="ru-RU" w:eastAsia="ru-RU"/>
        </w:rPr>
      </w:pPr>
      <w:r w:rsidRPr="00C75088">
        <w:rPr>
          <w:rFonts w:ascii="Times New Roman" w:hAnsi="Times New Roman"/>
          <w:szCs w:val="23"/>
          <w:lang w:val="ru-RU" w:eastAsia="ru-RU"/>
        </w:rPr>
        <w:t>поддерживают правительства, гражданское общество и региональные сообщества в достижении целей развития;</w:t>
      </w:r>
    </w:p>
    <w:p w:rsidR="00904462" w:rsidRPr="00C75088" w:rsidRDefault="00904462" w:rsidP="00904462">
      <w:pPr>
        <w:pStyle w:val="a8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/>
          <w:szCs w:val="28"/>
          <w:lang w:val="ru-RU" w:eastAsia="ru-RU"/>
        </w:rPr>
      </w:pPr>
      <w:r w:rsidRPr="00C75088">
        <w:rPr>
          <w:rFonts w:ascii="Times New Roman" w:hAnsi="Times New Roman"/>
          <w:szCs w:val="23"/>
          <w:lang w:val="ru-RU" w:eastAsia="ru-RU"/>
        </w:rPr>
        <w:t xml:space="preserve">поддерживают творческих людей и дают обширную базу для новых форм творчества. </w:t>
      </w:r>
    </w:p>
    <w:p w:rsidR="00904462" w:rsidRPr="00EF4EB6" w:rsidRDefault="00904462" w:rsidP="00904462">
      <w:pPr>
        <w:rPr>
          <w:szCs w:val="23"/>
          <w:lang w:eastAsia="ru-RU"/>
        </w:rPr>
      </w:pPr>
      <w:r w:rsidRPr="00904462">
        <w:rPr>
          <w:i/>
          <w:szCs w:val="23"/>
          <w:lang w:eastAsia="ru-RU"/>
        </w:rPr>
        <w:t>Причины продвигать интересы библиотек:</w:t>
      </w:r>
      <w:r w:rsidR="00C75088">
        <w:rPr>
          <w:i/>
          <w:szCs w:val="23"/>
          <w:lang w:eastAsia="ru-RU"/>
        </w:rPr>
        <w:t xml:space="preserve"> п</w:t>
      </w:r>
      <w:r w:rsidRPr="00904462">
        <w:rPr>
          <w:rFonts w:eastAsia="Cambria-Bold"/>
          <w:bCs/>
          <w:szCs w:val="23"/>
          <w:lang w:eastAsia="ru-RU"/>
        </w:rPr>
        <w:t>режде всего, связаны с пониманием роли библиотек:</w:t>
      </w:r>
      <w:r w:rsidRPr="00EF4EB6">
        <w:rPr>
          <w:rFonts w:eastAsia="Cambria-Bold"/>
          <w:b/>
          <w:bCs/>
          <w:szCs w:val="23"/>
          <w:lang w:eastAsia="ru-RU"/>
        </w:rPr>
        <w:t xml:space="preserve"> </w:t>
      </w:r>
      <w:r w:rsidRPr="00EF4EB6">
        <w:rPr>
          <w:szCs w:val="23"/>
          <w:lang w:eastAsia="ru-RU"/>
        </w:rPr>
        <w:t xml:space="preserve">в обществе, среди финансирующих организаций, например, в правительстве, и среди потенциальных партнеров. Библиотеки зачастую рассматриваются как «непроизводственные услуги», даже с признанием их важной роли, поэтому они могут легко исчезнуть из повестки дня руководящих органов или даже общественности, как место, где можно найти информацию. </w:t>
      </w:r>
    </w:p>
    <w:p w:rsidR="00904462" w:rsidRPr="00C75088" w:rsidRDefault="00904462" w:rsidP="00904462">
      <w:pPr>
        <w:rPr>
          <w:b/>
          <w:lang w:eastAsia="ru-RU"/>
        </w:rPr>
      </w:pPr>
      <w:r w:rsidRPr="00C75088">
        <w:rPr>
          <w:b/>
          <w:lang w:eastAsia="ru-RU"/>
        </w:rPr>
        <w:t>Культура и развитие</w:t>
      </w:r>
    </w:p>
    <w:p w:rsidR="00904462" w:rsidRPr="00EF4EB6" w:rsidRDefault="00904462" w:rsidP="00904462">
      <w:pPr>
        <w:rPr>
          <w:b/>
          <w:szCs w:val="23"/>
          <w:lang w:eastAsia="ru-RU"/>
        </w:rPr>
      </w:pPr>
      <w:r w:rsidRPr="00EF4EB6">
        <w:rPr>
          <w:szCs w:val="23"/>
          <w:lang w:eastAsia="ru-RU"/>
        </w:rPr>
        <w:t xml:space="preserve">Культура, понимаемая как совокупность ценностей, традиций, движимого и недвижимого наследия, религиозных убеждений, мировоззрения и выражения во многих </w:t>
      </w:r>
      <w:r w:rsidRPr="00EF4EB6">
        <w:rPr>
          <w:szCs w:val="23"/>
          <w:lang w:eastAsia="ru-RU"/>
        </w:rPr>
        <w:lastRenderedPageBreak/>
        <w:t>аспектах жизни, может способствовать реализации целей развития, поддерживая социальное участие, устойчивость, инновации и местное знание. В библиотеках культура поддерживается с помощью грамотности, актуальных фондов и материалов на языках коренного населения и сохранности на благо будущих поколений.</w:t>
      </w:r>
    </w:p>
    <w:p w:rsidR="00CA38C3" w:rsidRPr="00EF4EB6" w:rsidRDefault="00CA38C3" w:rsidP="00EA36B3">
      <w:pPr>
        <w:rPr>
          <w:rFonts w:eastAsia="Times New Roman"/>
          <w:color w:val="000000"/>
          <w:szCs w:val="28"/>
          <w:lang w:eastAsia="ru-RU"/>
        </w:rPr>
      </w:pPr>
      <w:r w:rsidRPr="00EF4EB6">
        <w:rPr>
          <w:szCs w:val="28"/>
        </w:rPr>
        <w:t>В отечественной научной литературе можно встретить уже достаточно большое количество работ, касающихся показателей устойчивого развития. Прежде всего, это работы экономистов, в частности С.Н. Бобылева</w:t>
      </w:r>
      <w:r w:rsidR="00A450D5" w:rsidRPr="00EF4EB6">
        <w:rPr>
          <w:szCs w:val="28"/>
        </w:rPr>
        <w:t xml:space="preserve"> [</w:t>
      </w:r>
      <w:fldSimple w:instr=" REF _Ref524696365 \r \h  \* MERGEFORMAT ">
        <w:r w:rsidR="00F20C62">
          <w:rPr>
            <w:szCs w:val="28"/>
          </w:rPr>
          <w:t>7</w:t>
        </w:r>
      </w:fldSimple>
      <w:r w:rsidR="00A450D5" w:rsidRPr="00EF4EB6">
        <w:rPr>
          <w:szCs w:val="28"/>
        </w:rPr>
        <w:t>]</w:t>
      </w:r>
      <w:r w:rsidRPr="00EF4EB6">
        <w:rPr>
          <w:szCs w:val="28"/>
        </w:rPr>
        <w:t>, активно занимающегося</w:t>
      </w:r>
      <w:r w:rsidR="00EF4EB6">
        <w:rPr>
          <w:szCs w:val="28"/>
        </w:rPr>
        <w:t xml:space="preserve"> </w:t>
      </w:r>
      <w:r w:rsidRPr="00EF4EB6">
        <w:rPr>
          <w:szCs w:val="28"/>
        </w:rPr>
        <w:t>темой в рамках изданий на русском языке ежегодных Докладов о развитии человека ПРООН. Появились и обобщающие публикации, в частности, Тарасовой Н.П., Кручина Е.Б.</w:t>
      </w:r>
      <w:r w:rsidR="00A450D5" w:rsidRPr="00EF4EB6">
        <w:rPr>
          <w:szCs w:val="28"/>
        </w:rPr>
        <w:t xml:space="preserve"> [</w:t>
      </w:r>
      <w:fldSimple w:instr=" REF _Ref524696380 \r \h  \* MERGEFORMAT ">
        <w:r w:rsidR="00F20C62">
          <w:rPr>
            <w:szCs w:val="28"/>
          </w:rPr>
          <w:t>8</w:t>
        </w:r>
      </w:fldSimple>
      <w:r w:rsidR="00A450D5" w:rsidRPr="00EF4EB6">
        <w:rPr>
          <w:szCs w:val="28"/>
        </w:rPr>
        <w:t>]</w:t>
      </w:r>
      <w:r w:rsidRPr="00EF4EB6">
        <w:rPr>
          <w:szCs w:val="28"/>
        </w:rPr>
        <w:t xml:space="preserve"> и др. В этих и других работах приведена структура показателей, выделяется базовый набор индикаторов, включающий экономические, экологические, социальные и институциональные индикаторы. Рассмотрены системы индикаторов: 1) Комиссии ООН по устойчивому развитию; 2) Организации экономического сотрудничества и развития (ОЭСР); 3) для улучшения управления природопользованием в Центральной Америке; 4) мирового развития Всемирного Банка, 5) устойчивого развития для России.</w:t>
      </w:r>
      <w:r w:rsidR="00EF4EB6">
        <w:rPr>
          <w:szCs w:val="28"/>
        </w:rPr>
        <w:t xml:space="preserve"> </w:t>
      </w:r>
      <w:r w:rsidRPr="00EF4EB6">
        <w:rPr>
          <w:szCs w:val="28"/>
        </w:rPr>
        <w:t>Среди этих показателей особое место занимают интегральные показатели устойчивого развития, в том числе: индекс развития человеческого потенциала</w:t>
      </w:r>
      <w:r w:rsidR="00904462">
        <w:rPr>
          <w:szCs w:val="28"/>
        </w:rPr>
        <w:t xml:space="preserve"> –</w:t>
      </w:r>
      <w:r w:rsidR="00EF4EB6">
        <w:rPr>
          <w:szCs w:val="28"/>
        </w:rPr>
        <w:t xml:space="preserve"> </w:t>
      </w:r>
      <w:r w:rsidRPr="00EF4EB6">
        <w:rPr>
          <w:szCs w:val="28"/>
        </w:rPr>
        <w:t>ИРЧП, индекс развития</w:t>
      </w:r>
      <w:r w:rsidR="00EF4EB6">
        <w:rPr>
          <w:szCs w:val="28"/>
        </w:rPr>
        <w:t xml:space="preserve"> </w:t>
      </w:r>
      <w:r w:rsidRPr="00EF4EB6">
        <w:rPr>
          <w:szCs w:val="28"/>
        </w:rPr>
        <w:t>человеческого капитала</w:t>
      </w:r>
      <w:r w:rsidR="00904462">
        <w:rPr>
          <w:szCs w:val="28"/>
        </w:rPr>
        <w:t xml:space="preserve"> –</w:t>
      </w:r>
      <w:r w:rsidR="00EF4EB6">
        <w:rPr>
          <w:szCs w:val="28"/>
        </w:rPr>
        <w:t xml:space="preserve"> </w:t>
      </w:r>
      <w:r w:rsidRPr="00EF4EB6">
        <w:rPr>
          <w:szCs w:val="28"/>
        </w:rPr>
        <w:t>РЧК.</w:t>
      </w:r>
      <w:r w:rsidR="00EF4EB6">
        <w:rPr>
          <w:szCs w:val="28"/>
        </w:rPr>
        <w:t xml:space="preserve"> </w:t>
      </w:r>
      <w:r w:rsidRPr="00EF4EB6">
        <w:rPr>
          <w:szCs w:val="28"/>
        </w:rPr>
        <w:t xml:space="preserve">Анализ этих и других систем измерения, свидетельствует о том, что </w:t>
      </w:r>
      <w:r w:rsidRPr="00EF4EB6">
        <w:rPr>
          <w:rFonts w:eastAsia="Times New Roman"/>
          <w:color w:val="000000"/>
          <w:szCs w:val="28"/>
          <w:lang w:eastAsia="ru-RU"/>
        </w:rPr>
        <w:t>на сегодняшний день нет никаких интегральных показателей, специально</w:t>
      </w:r>
      <w:r w:rsidR="00EF4EB6">
        <w:rPr>
          <w:rFonts w:eastAsia="Times New Roman"/>
          <w:color w:val="000000"/>
          <w:szCs w:val="28"/>
          <w:lang w:eastAsia="ru-RU"/>
        </w:rPr>
        <w:t xml:space="preserve"> </w:t>
      </w:r>
      <w:r w:rsidRPr="00EF4EB6">
        <w:rPr>
          <w:rFonts w:eastAsia="Times New Roman"/>
          <w:color w:val="000000"/>
          <w:szCs w:val="28"/>
          <w:lang w:eastAsia="ru-RU"/>
        </w:rPr>
        <w:t>оценивающих</w:t>
      </w:r>
      <w:r w:rsidR="00EF4EB6">
        <w:rPr>
          <w:rFonts w:eastAsia="Times New Roman"/>
          <w:color w:val="000000"/>
          <w:szCs w:val="28"/>
          <w:lang w:eastAsia="ru-RU"/>
        </w:rPr>
        <w:t xml:space="preserve"> </w:t>
      </w:r>
      <w:r w:rsidRPr="00EF4EB6">
        <w:rPr>
          <w:rFonts w:eastAsia="Times New Roman"/>
          <w:color w:val="000000"/>
          <w:szCs w:val="28"/>
          <w:lang w:eastAsia="ru-RU"/>
        </w:rPr>
        <w:t>место и роль культуры в жизни населения регионов и страны. Кроме того, нет системы показателей, связывающих культурную составляющую жизни населения России с устойчивым развитием.</w:t>
      </w:r>
    </w:p>
    <w:p w:rsidR="00CA38C3" w:rsidRPr="00EF4EB6" w:rsidRDefault="00CA38C3" w:rsidP="00EA36B3">
      <w:pPr>
        <w:rPr>
          <w:rFonts w:eastAsia="Times New Roman"/>
          <w:color w:val="000000"/>
          <w:szCs w:val="28"/>
          <w:lang w:eastAsia="ru-RU"/>
        </w:rPr>
      </w:pPr>
      <w:r w:rsidRPr="00EF4EB6">
        <w:rPr>
          <w:szCs w:val="28"/>
        </w:rPr>
        <w:t>В наших предыдущих исследовательских проектах на эту тему</w:t>
      </w:r>
      <w:r w:rsidR="00A450D5" w:rsidRPr="00EF4EB6">
        <w:rPr>
          <w:szCs w:val="28"/>
        </w:rPr>
        <w:t xml:space="preserve"> [</w:t>
      </w:r>
      <w:fldSimple w:instr=" REF _Ref524696404 \r \h  \* MERGEFORMAT ">
        <w:r w:rsidR="00F20C62">
          <w:rPr>
            <w:szCs w:val="28"/>
          </w:rPr>
          <w:t>9</w:t>
        </w:r>
      </w:fldSimple>
      <w:r w:rsidR="00A450D5" w:rsidRPr="00EF4EB6">
        <w:rPr>
          <w:szCs w:val="28"/>
        </w:rPr>
        <w:t>-12]</w:t>
      </w:r>
      <w:r w:rsidRPr="00EF4EB6">
        <w:rPr>
          <w:szCs w:val="28"/>
        </w:rPr>
        <w:t xml:space="preserve"> была высказана мысль о</w:t>
      </w:r>
      <w:r w:rsidR="00EF4EB6">
        <w:rPr>
          <w:szCs w:val="28"/>
        </w:rPr>
        <w:t xml:space="preserve"> </w:t>
      </w:r>
      <w:r w:rsidRPr="00EF4EB6">
        <w:rPr>
          <w:szCs w:val="28"/>
        </w:rPr>
        <w:t>необходимости разработки интегральных показателей</w:t>
      </w:r>
      <w:r w:rsidR="00EF4EB6">
        <w:rPr>
          <w:szCs w:val="28"/>
        </w:rPr>
        <w:t xml:space="preserve"> </w:t>
      </w:r>
      <w:r w:rsidRPr="00EF4EB6">
        <w:rPr>
          <w:rFonts w:eastAsia="Times New Roman"/>
          <w:color w:val="000000"/>
          <w:szCs w:val="28"/>
          <w:lang w:eastAsia="ru-RU"/>
        </w:rPr>
        <w:t>и индексов развития сферы культуры, а также библиотек, которые могли бы быть использованы в расчетах уже имеющихся показателей, таких как РЧК (развитие человеческого капитала), ИЧР (индекс человеческого развития), индекс качества жизни; разрабатываемых отдельными заинтересованными субъектами для оценки смежных областей внутри сферы культуры; а также для использования в интегральных индексах более высокого уровня для оценки культурной и библиотечной политики в регионах.</w:t>
      </w:r>
      <w:r w:rsidR="00EF4EB6">
        <w:rPr>
          <w:rFonts w:eastAsia="Times New Roman"/>
          <w:color w:val="000000"/>
          <w:szCs w:val="28"/>
          <w:lang w:eastAsia="ru-RU"/>
        </w:rPr>
        <w:t xml:space="preserve"> </w:t>
      </w:r>
    </w:p>
    <w:p w:rsidR="00CA38C3" w:rsidRPr="00EF4EB6" w:rsidRDefault="00CA38C3" w:rsidP="00EA36B3">
      <w:pPr>
        <w:rPr>
          <w:rFonts w:eastAsia="Times New Roman"/>
          <w:color w:val="000000"/>
          <w:szCs w:val="28"/>
          <w:lang w:eastAsia="ru-RU"/>
        </w:rPr>
      </w:pPr>
      <w:r w:rsidRPr="00EF4EB6">
        <w:rPr>
          <w:rFonts w:eastAsia="Times New Roman"/>
          <w:color w:val="000000"/>
          <w:szCs w:val="28"/>
          <w:lang w:eastAsia="ru-RU"/>
        </w:rPr>
        <w:t>В целом, следует отметить, что разработка такого рода индексов</w:t>
      </w:r>
      <w:r w:rsidR="00EF4EB6">
        <w:rPr>
          <w:rFonts w:eastAsia="Times New Roman"/>
          <w:color w:val="000000"/>
          <w:szCs w:val="28"/>
          <w:lang w:eastAsia="ru-RU"/>
        </w:rPr>
        <w:t xml:space="preserve"> </w:t>
      </w:r>
      <w:r w:rsidRPr="00EF4EB6">
        <w:rPr>
          <w:rFonts w:eastAsia="Times New Roman"/>
          <w:color w:val="000000"/>
          <w:szCs w:val="28"/>
          <w:lang w:eastAsia="ru-RU"/>
        </w:rPr>
        <w:t>будет способствовать более глубокому пониманию роли культуры в устойчивом развитии, сущности и структуры природного, человеческого и культурного капитала. Однако, актуальной задачей остается</w:t>
      </w:r>
      <w:r w:rsidR="00EF4EB6">
        <w:rPr>
          <w:rFonts w:eastAsia="Times New Roman"/>
          <w:color w:val="000000"/>
          <w:szCs w:val="28"/>
          <w:lang w:eastAsia="ru-RU"/>
        </w:rPr>
        <w:t xml:space="preserve"> </w:t>
      </w:r>
      <w:r w:rsidRPr="00EF4EB6">
        <w:rPr>
          <w:rFonts w:eastAsia="Times New Roman"/>
          <w:color w:val="000000"/>
          <w:szCs w:val="28"/>
          <w:lang w:eastAsia="ru-RU"/>
        </w:rPr>
        <w:t>разработка интегральных показателей и индексов, посредством которых можно</w:t>
      </w:r>
      <w:r w:rsidR="00EF4EB6">
        <w:rPr>
          <w:rFonts w:eastAsia="Times New Roman"/>
          <w:color w:val="000000"/>
          <w:szCs w:val="28"/>
          <w:lang w:eastAsia="ru-RU"/>
        </w:rPr>
        <w:t xml:space="preserve"> </w:t>
      </w:r>
      <w:r w:rsidRPr="00EF4EB6">
        <w:rPr>
          <w:rFonts w:eastAsia="Times New Roman"/>
          <w:color w:val="000000"/>
          <w:szCs w:val="28"/>
          <w:lang w:eastAsia="ru-RU"/>
        </w:rPr>
        <w:t xml:space="preserve">охарактеризовать </w:t>
      </w:r>
      <w:r w:rsidRPr="00904462">
        <w:rPr>
          <w:rFonts w:eastAsia="Times New Roman"/>
          <w:color w:val="000000"/>
          <w:szCs w:val="28"/>
          <w:lang w:eastAsia="ru-RU"/>
        </w:rPr>
        <w:t>национальный культурный капитал</w:t>
      </w:r>
      <w:r w:rsidRPr="00EF4EB6">
        <w:rPr>
          <w:rFonts w:eastAsia="Times New Roman"/>
          <w:color w:val="000000"/>
          <w:szCs w:val="28"/>
          <w:lang w:eastAsia="ru-RU"/>
        </w:rPr>
        <w:t>.</w:t>
      </w:r>
      <w:r w:rsidR="00EF4EB6">
        <w:rPr>
          <w:rFonts w:eastAsia="Times New Roman"/>
          <w:color w:val="000000"/>
          <w:szCs w:val="28"/>
          <w:lang w:eastAsia="ru-RU"/>
        </w:rPr>
        <w:t xml:space="preserve"> </w:t>
      </w:r>
      <w:r w:rsidRPr="00EF4EB6">
        <w:rPr>
          <w:rFonts w:eastAsia="Times New Roman"/>
          <w:color w:val="000000"/>
          <w:szCs w:val="28"/>
          <w:lang w:eastAsia="ru-RU"/>
        </w:rPr>
        <w:t>Наличие такого инструмента, позволяющего осуществить оценку и сравнение деятельности регионов по эффективному управлению природным, культурным и человеческим капиталом, станет важнейшим звеном в механизме управления устойчивым развитием.</w:t>
      </w:r>
      <w:r w:rsidR="00EF4EB6">
        <w:rPr>
          <w:rFonts w:eastAsia="Times New Roman"/>
          <w:color w:val="000000"/>
          <w:szCs w:val="28"/>
          <w:lang w:eastAsia="ru-RU"/>
        </w:rPr>
        <w:t xml:space="preserve"> </w:t>
      </w:r>
    </w:p>
    <w:p w:rsidR="00DF55C9" w:rsidRPr="00EF4EB6" w:rsidRDefault="00CA38C3" w:rsidP="00EA36B3">
      <w:pPr>
        <w:rPr>
          <w:rFonts w:eastAsia="Times New Roman"/>
          <w:color w:val="000000"/>
          <w:szCs w:val="28"/>
          <w:lang w:eastAsia="ru-RU"/>
        </w:rPr>
      </w:pPr>
      <w:r w:rsidRPr="00EF4EB6">
        <w:rPr>
          <w:szCs w:val="28"/>
        </w:rPr>
        <w:t>Ориентация устойчивого развития на</w:t>
      </w:r>
      <w:r w:rsidR="00EF4EB6">
        <w:rPr>
          <w:szCs w:val="28"/>
        </w:rPr>
        <w:t xml:space="preserve"> </w:t>
      </w:r>
      <w:r w:rsidR="00432ABF" w:rsidRPr="00EF4EB6">
        <w:rPr>
          <w:szCs w:val="28"/>
        </w:rPr>
        <w:t>ч</w:t>
      </w:r>
      <w:r w:rsidRPr="00EF4EB6">
        <w:rPr>
          <w:szCs w:val="28"/>
        </w:rPr>
        <w:t>еловека требует новой системы коммуникаций и</w:t>
      </w:r>
      <w:r w:rsidR="00EF4EB6">
        <w:rPr>
          <w:szCs w:val="28"/>
        </w:rPr>
        <w:t xml:space="preserve"> </w:t>
      </w:r>
      <w:r w:rsidRPr="00EF4EB6">
        <w:rPr>
          <w:szCs w:val="28"/>
        </w:rPr>
        <w:t>формирования новой этики, определяется</w:t>
      </w:r>
      <w:r w:rsidR="00EF4EB6">
        <w:rPr>
          <w:szCs w:val="28"/>
        </w:rPr>
        <w:t xml:space="preserve"> </w:t>
      </w:r>
      <w:r w:rsidRPr="00EF4EB6">
        <w:rPr>
          <w:szCs w:val="28"/>
        </w:rPr>
        <w:t xml:space="preserve">поиском механизмов единства, соединения и взаимосвязи между странами и культурами. Концепция «Повестки на </w:t>
      </w:r>
      <w:r w:rsidRPr="00EF4EB6">
        <w:rPr>
          <w:szCs w:val="28"/>
          <w:lang w:val="en-US"/>
        </w:rPr>
        <w:t>XXI</w:t>
      </w:r>
      <w:r w:rsidRPr="00EF4EB6">
        <w:rPr>
          <w:szCs w:val="28"/>
        </w:rPr>
        <w:t xml:space="preserve"> век для культуры», понимание культуры как четвертой опоры устойчивого развития наряду с экономикой, экологией и социальным участием; теоретические разработки роли культуры в устойчивом развитии требуют конструирования новых практик трансдисциплинарного и кросскультурного измерения роли культуры в устойчивом развитии, а также активного включения в эти процессы </w:t>
      </w:r>
      <w:r w:rsidR="00432ABF" w:rsidRPr="00EF4EB6">
        <w:rPr>
          <w:szCs w:val="28"/>
        </w:rPr>
        <w:t>о</w:t>
      </w:r>
      <w:r w:rsidRPr="00EF4EB6">
        <w:rPr>
          <w:szCs w:val="28"/>
        </w:rPr>
        <w:t xml:space="preserve">течественных исследований и разработок. </w:t>
      </w:r>
      <w:r w:rsidRPr="00EF4EB6">
        <w:rPr>
          <w:rFonts w:eastAsia="Times New Roman"/>
          <w:color w:val="000000"/>
          <w:szCs w:val="28"/>
          <w:lang w:eastAsia="ru-RU"/>
        </w:rPr>
        <w:t>Методологической базой этих исследований являются основания постнеклассической науки</w:t>
      </w:r>
      <w:r w:rsidR="00A450D5" w:rsidRPr="00EF4EB6">
        <w:rPr>
          <w:rFonts w:eastAsia="Times New Roman"/>
          <w:color w:val="000000"/>
          <w:szCs w:val="28"/>
          <w:lang w:eastAsia="ru-RU"/>
        </w:rPr>
        <w:t xml:space="preserve"> [</w:t>
      </w:r>
      <w:fldSimple w:instr=" REF _Ref524696451 \r \h  \* MERGEFORMAT ">
        <w:r w:rsidR="00F20C62" w:rsidRPr="00F20C62">
          <w:rPr>
            <w:rFonts w:eastAsia="Times New Roman"/>
            <w:color w:val="000000"/>
            <w:szCs w:val="28"/>
            <w:lang w:eastAsia="ru-RU"/>
          </w:rPr>
          <w:t>13</w:t>
        </w:r>
      </w:fldSimple>
      <w:r w:rsidR="00904462">
        <w:rPr>
          <w:rFonts w:eastAsia="Times New Roman"/>
          <w:color w:val="000000"/>
          <w:szCs w:val="28"/>
          <w:lang w:eastAsia="ru-RU"/>
        </w:rPr>
        <w:t>-</w:t>
      </w:r>
      <w:fldSimple w:instr=" REF _Ref524696453 \r \h  \* MERGEFORMAT ">
        <w:r w:rsidR="00F20C62" w:rsidRPr="00F20C62">
          <w:rPr>
            <w:rFonts w:eastAsia="Times New Roman"/>
            <w:color w:val="000000"/>
            <w:szCs w:val="28"/>
            <w:lang w:eastAsia="ru-RU"/>
          </w:rPr>
          <w:t>14</w:t>
        </w:r>
      </w:fldSimple>
      <w:r w:rsidR="00A450D5" w:rsidRPr="00EF4EB6">
        <w:rPr>
          <w:rFonts w:eastAsia="Times New Roman"/>
          <w:color w:val="000000"/>
          <w:szCs w:val="28"/>
          <w:lang w:eastAsia="ru-RU"/>
        </w:rPr>
        <w:t>]</w:t>
      </w:r>
      <w:r w:rsidRPr="00EF4EB6">
        <w:rPr>
          <w:rFonts w:eastAsia="Times New Roman"/>
          <w:color w:val="000000"/>
          <w:szCs w:val="28"/>
          <w:lang w:eastAsia="ru-RU"/>
        </w:rPr>
        <w:t>.</w:t>
      </w:r>
    </w:p>
    <w:p w:rsidR="005B08BD" w:rsidRPr="00EF4EB6" w:rsidRDefault="005B08BD" w:rsidP="00EA36B3">
      <w:pPr>
        <w:rPr>
          <w:rFonts w:eastAsia="Times New Roman"/>
          <w:color w:val="000000"/>
          <w:szCs w:val="28"/>
          <w:lang w:eastAsia="ru-RU"/>
        </w:rPr>
      </w:pPr>
    </w:p>
    <w:p w:rsidR="005B08BD" w:rsidRPr="00904462" w:rsidRDefault="00904462" w:rsidP="00904462">
      <w:pPr>
        <w:jc w:val="center"/>
        <w:rPr>
          <w:rFonts w:eastAsia="Times New Roman"/>
          <w:b/>
          <w:color w:val="000000"/>
          <w:sz w:val="22"/>
          <w:szCs w:val="28"/>
          <w:lang w:eastAsia="ru-RU"/>
        </w:rPr>
      </w:pPr>
      <w:r w:rsidRPr="00904462">
        <w:rPr>
          <w:rFonts w:eastAsia="Times New Roman"/>
          <w:b/>
          <w:color w:val="000000"/>
          <w:sz w:val="22"/>
          <w:szCs w:val="28"/>
          <w:lang w:eastAsia="ru-RU"/>
        </w:rPr>
        <w:t>Литература</w:t>
      </w:r>
    </w:p>
    <w:p w:rsidR="005B08BD" w:rsidRPr="00C75088" w:rsidRDefault="005B08BD" w:rsidP="0052001E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2"/>
          <w:szCs w:val="28"/>
          <w:lang w:val="ru-RU"/>
        </w:rPr>
      </w:pPr>
      <w:bookmarkStart w:id="0" w:name="_Ref524695838"/>
      <w:r w:rsidRPr="0052001E">
        <w:rPr>
          <w:rFonts w:ascii="Times New Roman" w:hAnsi="Times New Roman"/>
          <w:sz w:val="22"/>
          <w:szCs w:val="28"/>
          <w:lang w:val="en-US"/>
        </w:rPr>
        <w:t>UNESCO</w:t>
      </w:r>
      <w:r w:rsidRPr="00C75088">
        <w:rPr>
          <w:rFonts w:ascii="Times New Roman" w:hAnsi="Times New Roman"/>
          <w:sz w:val="22"/>
          <w:szCs w:val="28"/>
          <w:lang w:val="en-US"/>
        </w:rPr>
        <w:t xml:space="preserve"> </w:t>
      </w:r>
      <w:r w:rsidRPr="0052001E">
        <w:rPr>
          <w:rFonts w:ascii="Times New Roman" w:hAnsi="Times New Roman"/>
          <w:sz w:val="22"/>
          <w:szCs w:val="28"/>
          <w:lang w:val="en-US"/>
        </w:rPr>
        <w:t>Culture</w:t>
      </w:r>
      <w:r w:rsidRPr="00C75088">
        <w:rPr>
          <w:rFonts w:ascii="Times New Roman" w:hAnsi="Times New Roman"/>
          <w:sz w:val="22"/>
          <w:szCs w:val="28"/>
          <w:lang w:val="en-US"/>
        </w:rPr>
        <w:t xml:space="preserve"> </w:t>
      </w:r>
      <w:r w:rsidRPr="0052001E">
        <w:rPr>
          <w:rFonts w:ascii="Times New Roman" w:hAnsi="Times New Roman"/>
          <w:sz w:val="22"/>
          <w:szCs w:val="28"/>
          <w:lang w:val="en-US"/>
        </w:rPr>
        <w:t>for</w:t>
      </w:r>
      <w:r w:rsidRPr="00C75088">
        <w:rPr>
          <w:rFonts w:ascii="Times New Roman" w:hAnsi="Times New Roman"/>
          <w:sz w:val="22"/>
          <w:szCs w:val="28"/>
          <w:lang w:val="en-US"/>
        </w:rPr>
        <w:t xml:space="preserve"> </w:t>
      </w:r>
      <w:r w:rsidRPr="0052001E">
        <w:rPr>
          <w:rFonts w:ascii="Times New Roman" w:hAnsi="Times New Roman"/>
          <w:sz w:val="22"/>
          <w:szCs w:val="28"/>
          <w:lang w:val="en-US"/>
        </w:rPr>
        <w:t>Development</w:t>
      </w:r>
      <w:r w:rsidRPr="00C75088">
        <w:rPr>
          <w:rFonts w:ascii="Times New Roman" w:hAnsi="Times New Roman"/>
          <w:sz w:val="22"/>
          <w:szCs w:val="28"/>
          <w:lang w:val="en-US"/>
        </w:rPr>
        <w:t xml:space="preserve"> </w:t>
      </w:r>
      <w:r w:rsidRPr="0052001E">
        <w:rPr>
          <w:rFonts w:ascii="Times New Roman" w:hAnsi="Times New Roman"/>
          <w:sz w:val="22"/>
          <w:szCs w:val="28"/>
          <w:lang w:val="en-US"/>
        </w:rPr>
        <w:t>Indicators</w:t>
      </w:r>
      <w:r w:rsidRPr="00C75088">
        <w:rPr>
          <w:rFonts w:ascii="Times New Roman" w:hAnsi="Times New Roman"/>
          <w:sz w:val="22"/>
          <w:szCs w:val="28"/>
          <w:lang w:val="en-US"/>
        </w:rPr>
        <w:t xml:space="preserve"> (</w:t>
      </w:r>
      <w:r w:rsidRPr="0052001E">
        <w:rPr>
          <w:rFonts w:ascii="Times New Roman" w:hAnsi="Times New Roman"/>
          <w:sz w:val="22"/>
          <w:szCs w:val="28"/>
          <w:lang w:val="en-US"/>
        </w:rPr>
        <w:t>CDIS</w:t>
      </w:r>
      <w:r w:rsidRPr="00C75088">
        <w:rPr>
          <w:rFonts w:ascii="Times New Roman" w:hAnsi="Times New Roman"/>
          <w:sz w:val="22"/>
          <w:szCs w:val="28"/>
          <w:lang w:val="en-US"/>
        </w:rPr>
        <w:t xml:space="preserve">): </w:t>
      </w:r>
      <w:r w:rsidRPr="0052001E">
        <w:rPr>
          <w:rFonts w:ascii="Times New Roman" w:hAnsi="Times New Roman"/>
          <w:sz w:val="22"/>
          <w:szCs w:val="28"/>
          <w:lang w:val="en-US"/>
        </w:rPr>
        <w:t>Methodology</w:t>
      </w:r>
      <w:r w:rsidRPr="00C75088">
        <w:rPr>
          <w:rFonts w:ascii="Times New Roman" w:hAnsi="Times New Roman"/>
          <w:sz w:val="22"/>
          <w:szCs w:val="28"/>
          <w:lang w:val="en-US"/>
        </w:rPr>
        <w:t xml:space="preserve"> </w:t>
      </w:r>
      <w:r w:rsidRPr="0052001E">
        <w:rPr>
          <w:rFonts w:ascii="Times New Roman" w:hAnsi="Times New Roman"/>
          <w:sz w:val="22"/>
          <w:szCs w:val="28"/>
          <w:lang w:val="en-US"/>
        </w:rPr>
        <w:t>Manual</w:t>
      </w:r>
      <w:r w:rsidRPr="00C75088">
        <w:rPr>
          <w:rFonts w:ascii="Times New Roman" w:hAnsi="Times New Roman"/>
          <w:sz w:val="22"/>
          <w:szCs w:val="28"/>
          <w:lang w:val="en-US"/>
        </w:rPr>
        <w:t xml:space="preserve">. </w:t>
      </w:r>
      <w:r w:rsidRPr="0052001E">
        <w:rPr>
          <w:rFonts w:ascii="Times New Roman" w:hAnsi="Times New Roman"/>
          <w:sz w:val="22"/>
          <w:szCs w:val="28"/>
          <w:lang w:val="en-US"/>
        </w:rPr>
        <w:t>UNESCO</w:t>
      </w:r>
      <w:r w:rsidRPr="00C75088">
        <w:rPr>
          <w:rFonts w:ascii="Times New Roman" w:hAnsi="Times New Roman"/>
          <w:sz w:val="22"/>
          <w:szCs w:val="28"/>
          <w:lang w:val="ru-RU"/>
        </w:rPr>
        <w:t>, 2014.</w:t>
      </w:r>
      <w:r w:rsidR="00904462" w:rsidRPr="00C75088">
        <w:rPr>
          <w:rFonts w:ascii="Times New Roman" w:hAnsi="Times New Roman"/>
          <w:sz w:val="22"/>
          <w:szCs w:val="28"/>
          <w:lang w:val="ru-RU"/>
        </w:rPr>
        <w:t xml:space="preserve"> –</w:t>
      </w:r>
      <w:r w:rsidR="007A62B4" w:rsidRPr="00C75088">
        <w:rPr>
          <w:rFonts w:ascii="Times New Roman" w:hAnsi="Times New Roman"/>
          <w:sz w:val="22"/>
          <w:szCs w:val="28"/>
          <w:lang w:val="ru-RU"/>
        </w:rPr>
        <w:t xml:space="preserve"> 144</w:t>
      </w:r>
      <w:r w:rsidR="00904462" w:rsidRPr="0052001E">
        <w:rPr>
          <w:rFonts w:ascii="Times New Roman" w:hAnsi="Times New Roman"/>
          <w:sz w:val="22"/>
          <w:szCs w:val="28"/>
          <w:lang w:val="ru-RU"/>
        </w:rPr>
        <w:t xml:space="preserve"> </w:t>
      </w:r>
      <w:r w:rsidR="007A62B4" w:rsidRPr="0052001E">
        <w:rPr>
          <w:rFonts w:ascii="Times New Roman" w:hAnsi="Times New Roman"/>
          <w:sz w:val="22"/>
          <w:szCs w:val="28"/>
          <w:lang w:val="en-US"/>
        </w:rPr>
        <w:t>p</w:t>
      </w:r>
      <w:r w:rsidRPr="00C75088">
        <w:rPr>
          <w:rFonts w:ascii="Times New Roman" w:hAnsi="Times New Roman"/>
          <w:sz w:val="22"/>
          <w:szCs w:val="28"/>
          <w:lang w:val="ru-RU"/>
        </w:rPr>
        <w:t xml:space="preserve">. </w:t>
      </w:r>
      <w:r w:rsidR="00EF4EB6" w:rsidRPr="0052001E">
        <w:rPr>
          <w:rFonts w:ascii="Times New Roman" w:hAnsi="Times New Roman"/>
          <w:sz w:val="22"/>
          <w:szCs w:val="28"/>
          <w:lang w:val="en-US"/>
        </w:rPr>
        <w:t>URL</w:t>
      </w:r>
      <w:r w:rsidRPr="00C75088">
        <w:rPr>
          <w:rFonts w:ascii="Times New Roman" w:hAnsi="Times New Roman"/>
          <w:sz w:val="22"/>
          <w:szCs w:val="28"/>
          <w:lang w:val="ru-RU"/>
        </w:rPr>
        <w:t xml:space="preserve">: </w:t>
      </w:r>
      <w:r w:rsidRPr="0052001E">
        <w:rPr>
          <w:rFonts w:ascii="Times New Roman" w:hAnsi="Times New Roman"/>
          <w:sz w:val="22"/>
          <w:szCs w:val="28"/>
          <w:lang w:val="en-US"/>
        </w:rPr>
        <w:t>http</w:t>
      </w:r>
      <w:r w:rsidRPr="00C75088">
        <w:rPr>
          <w:rFonts w:ascii="Times New Roman" w:hAnsi="Times New Roman"/>
          <w:sz w:val="22"/>
          <w:szCs w:val="28"/>
          <w:lang w:val="ru-RU"/>
        </w:rPr>
        <w:t>://</w:t>
      </w:r>
      <w:r w:rsidRPr="0052001E">
        <w:rPr>
          <w:rFonts w:ascii="Times New Roman" w:hAnsi="Times New Roman"/>
          <w:sz w:val="22"/>
          <w:szCs w:val="28"/>
          <w:lang w:val="en-US"/>
        </w:rPr>
        <w:t>en</w:t>
      </w:r>
      <w:r w:rsidRPr="00C75088">
        <w:rPr>
          <w:rFonts w:ascii="Times New Roman" w:hAnsi="Times New Roman"/>
          <w:sz w:val="22"/>
          <w:szCs w:val="28"/>
          <w:lang w:val="ru-RU"/>
        </w:rPr>
        <w:t>.</w:t>
      </w:r>
      <w:r w:rsidRPr="0052001E">
        <w:rPr>
          <w:rFonts w:ascii="Times New Roman" w:hAnsi="Times New Roman"/>
          <w:sz w:val="22"/>
          <w:szCs w:val="28"/>
          <w:lang w:val="en-US"/>
        </w:rPr>
        <w:t>unesco</w:t>
      </w:r>
      <w:r w:rsidRPr="00C75088">
        <w:rPr>
          <w:rFonts w:ascii="Times New Roman" w:hAnsi="Times New Roman"/>
          <w:sz w:val="22"/>
          <w:szCs w:val="28"/>
          <w:lang w:val="ru-RU"/>
        </w:rPr>
        <w:t>.</w:t>
      </w:r>
      <w:r w:rsidRPr="0052001E">
        <w:rPr>
          <w:rFonts w:ascii="Times New Roman" w:hAnsi="Times New Roman"/>
          <w:sz w:val="22"/>
          <w:szCs w:val="28"/>
          <w:lang w:val="en-US"/>
        </w:rPr>
        <w:t>org</w:t>
      </w:r>
      <w:r w:rsidRPr="00C75088">
        <w:rPr>
          <w:rFonts w:ascii="Times New Roman" w:hAnsi="Times New Roman"/>
          <w:sz w:val="22"/>
          <w:szCs w:val="28"/>
          <w:lang w:val="ru-RU"/>
        </w:rPr>
        <w:t>/</w:t>
      </w:r>
      <w:r w:rsidRPr="0052001E">
        <w:rPr>
          <w:rFonts w:ascii="Times New Roman" w:hAnsi="Times New Roman"/>
          <w:sz w:val="22"/>
          <w:szCs w:val="28"/>
          <w:lang w:val="en-US"/>
        </w:rPr>
        <w:t>creativity</w:t>
      </w:r>
      <w:r w:rsidRPr="00C75088">
        <w:rPr>
          <w:rFonts w:ascii="Times New Roman" w:hAnsi="Times New Roman"/>
          <w:sz w:val="22"/>
          <w:szCs w:val="28"/>
          <w:lang w:val="ru-RU"/>
        </w:rPr>
        <w:t>/</w:t>
      </w:r>
      <w:r w:rsidRPr="0052001E">
        <w:rPr>
          <w:rFonts w:ascii="Times New Roman" w:hAnsi="Times New Roman"/>
          <w:sz w:val="22"/>
          <w:szCs w:val="28"/>
          <w:lang w:val="en-US"/>
        </w:rPr>
        <w:t>sites</w:t>
      </w:r>
      <w:r w:rsidRPr="00C75088">
        <w:rPr>
          <w:rFonts w:ascii="Times New Roman" w:hAnsi="Times New Roman"/>
          <w:sz w:val="22"/>
          <w:szCs w:val="28"/>
          <w:lang w:val="ru-RU"/>
        </w:rPr>
        <w:t>/</w:t>
      </w:r>
      <w:r w:rsidRPr="0052001E">
        <w:rPr>
          <w:rFonts w:ascii="Times New Roman" w:hAnsi="Times New Roman"/>
          <w:sz w:val="22"/>
          <w:szCs w:val="28"/>
          <w:lang w:val="en-US"/>
        </w:rPr>
        <w:t>creativity</w:t>
      </w:r>
      <w:r w:rsidRPr="00C75088">
        <w:rPr>
          <w:rFonts w:ascii="Times New Roman" w:hAnsi="Times New Roman"/>
          <w:sz w:val="22"/>
          <w:szCs w:val="28"/>
          <w:lang w:val="ru-RU"/>
        </w:rPr>
        <w:t>/</w:t>
      </w:r>
      <w:r w:rsidRPr="0052001E">
        <w:rPr>
          <w:rFonts w:ascii="Times New Roman" w:hAnsi="Times New Roman"/>
          <w:sz w:val="22"/>
          <w:szCs w:val="28"/>
          <w:lang w:val="en-US"/>
        </w:rPr>
        <w:t>files</w:t>
      </w:r>
      <w:r w:rsidRPr="00C75088">
        <w:rPr>
          <w:rFonts w:ascii="Times New Roman" w:hAnsi="Times New Roman"/>
          <w:sz w:val="22"/>
          <w:szCs w:val="28"/>
          <w:lang w:val="ru-RU"/>
        </w:rPr>
        <w:t>/</w:t>
      </w:r>
      <w:r w:rsidRPr="0052001E">
        <w:rPr>
          <w:rFonts w:ascii="Times New Roman" w:hAnsi="Times New Roman"/>
          <w:sz w:val="22"/>
          <w:szCs w:val="28"/>
          <w:lang w:val="en-US"/>
        </w:rPr>
        <w:t>cdis</w:t>
      </w:r>
      <w:r w:rsidRPr="00C75088">
        <w:rPr>
          <w:rFonts w:ascii="Times New Roman" w:hAnsi="Times New Roman"/>
          <w:sz w:val="22"/>
          <w:szCs w:val="28"/>
          <w:lang w:val="ru-RU"/>
        </w:rPr>
        <w:t>_</w:t>
      </w:r>
      <w:r w:rsidRPr="0052001E">
        <w:rPr>
          <w:rFonts w:ascii="Times New Roman" w:hAnsi="Times New Roman"/>
          <w:sz w:val="22"/>
          <w:szCs w:val="28"/>
          <w:lang w:val="en-US"/>
        </w:rPr>
        <w:t>methodology</w:t>
      </w:r>
      <w:r w:rsidRPr="00C75088">
        <w:rPr>
          <w:rFonts w:ascii="Times New Roman" w:hAnsi="Times New Roman"/>
          <w:sz w:val="22"/>
          <w:szCs w:val="28"/>
          <w:lang w:val="ru-RU"/>
        </w:rPr>
        <w:t>_</w:t>
      </w:r>
      <w:r w:rsidRPr="0052001E">
        <w:rPr>
          <w:rFonts w:ascii="Times New Roman" w:hAnsi="Times New Roman"/>
          <w:sz w:val="22"/>
          <w:szCs w:val="28"/>
          <w:lang w:val="en-US"/>
        </w:rPr>
        <w:t>manual</w:t>
      </w:r>
      <w:r w:rsidRPr="00C75088">
        <w:rPr>
          <w:rFonts w:ascii="Times New Roman" w:hAnsi="Times New Roman"/>
          <w:sz w:val="22"/>
          <w:szCs w:val="28"/>
          <w:lang w:val="ru-RU"/>
        </w:rPr>
        <w:t>.</w:t>
      </w:r>
      <w:r w:rsidRPr="0052001E">
        <w:rPr>
          <w:rFonts w:ascii="Times New Roman" w:hAnsi="Times New Roman"/>
          <w:sz w:val="22"/>
          <w:szCs w:val="28"/>
          <w:lang w:val="en-US"/>
        </w:rPr>
        <w:t>pdf</w:t>
      </w:r>
      <w:r w:rsidRPr="00C75088">
        <w:rPr>
          <w:rFonts w:ascii="Times New Roman" w:hAnsi="Times New Roman"/>
          <w:sz w:val="22"/>
          <w:szCs w:val="28"/>
          <w:lang w:val="ru-RU"/>
        </w:rPr>
        <w:t xml:space="preserve"> </w:t>
      </w:r>
      <w:r w:rsidR="007A62B4" w:rsidRPr="00C75088">
        <w:rPr>
          <w:rFonts w:ascii="Times New Roman" w:hAnsi="Times New Roman"/>
          <w:sz w:val="22"/>
          <w:szCs w:val="28"/>
          <w:lang w:val="ru-RU"/>
        </w:rPr>
        <w:t>(д</w:t>
      </w:r>
      <w:r w:rsidRPr="00C75088">
        <w:rPr>
          <w:rFonts w:ascii="Times New Roman" w:hAnsi="Times New Roman"/>
          <w:sz w:val="22"/>
          <w:szCs w:val="28"/>
          <w:lang w:val="ru-RU"/>
        </w:rPr>
        <w:t>ата обращения</w:t>
      </w:r>
      <w:r w:rsidR="007A62B4" w:rsidRPr="00C75088">
        <w:rPr>
          <w:rFonts w:ascii="Times New Roman" w:hAnsi="Times New Roman"/>
          <w:sz w:val="22"/>
          <w:szCs w:val="28"/>
          <w:lang w:val="ru-RU"/>
        </w:rPr>
        <w:t>:</w:t>
      </w:r>
      <w:r w:rsidRPr="00C75088">
        <w:rPr>
          <w:rFonts w:ascii="Times New Roman" w:hAnsi="Times New Roman"/>
          <w:sz w:val="22"/>
          <w:szCs w:val="28"/>
          <w:lang w:val="ru-RU"/>
        </w:rPr>
        <w:t xml:space="preserve"> 30.08.2018</w:t>
      </w:r>
      <w:r w:rsidR="007A62B4" w:rsidRPr="00C75088">
        <w:rPr>
          <w:rFonts w:ascii="Times New Roman" w:hAnsi="Times New Roman"/>
          <w:sz w:val="22"/>
          <w:szCs w:val="28"/>
          <w:lang w:val="ru-RU"/>
        </w:rPr>
        <w:t>)</w:t>
      </w:r>
      <w:r w:rsidRPr="00C75088">
        <w:rPr>
          <w:rFonts w:ascii="Times New Roman" w:hAnsi="Times New Roman"/>
          <w:sz w:val="22"/>
          <w:szCs w:val="28"/>
          <w:lang w:val="ru-RU"/>
        </w:rPr>
        <w:t>.</w:t>
      </w:r>
      <w:bookmarkEnd w:id="0"/>
    </w:p>
    <w:p w:rsidR="005B08BD" w:rsidRPr="0052001E" w:rsidRDefault="007A62B4" w:rsidP="0052001E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2"/>
          <w:szCs w:val="28"/>
          <w:lang w:val="en-US"/>
        </w:rPr>
      </w:pPr>
      <w:bookmarkStart w:id="1" w:name="_Ref524695878"/>
      <w:r w:rsidRPr="0052001E">
        <w:rPr>
          <w:rFonts w:ascii="Times New Roman" w:hAnsi="Times New Roman"/>
          <w:sz w:val="22"/>
          <w:szCs w:val="28"/>
          <w:lang w:val="en-US"/>
        </w:rPr>
        <w:t xml:space="preserve">Open Working Group on Sustainable Development Goals // </w:t>
      </w:r>
      <w:r w:rsidR="001E7F72" w:rsidRPr="0052001E">
        <w:rPr>
          <w:rFonts w:ascii="Times New Roman" w:hAnsi="Times New Roman"/>
          <w:sz w:val="22"/>
          <w:szCs w:val="28"/>
          <w:lang w:val="en-US"/>
        </w:rPr>
        <w:t>Sustainable Development</w:t>
      </w:r>
      <w:r w:rsidR="00904462" w:rsidRPr="0052001E">
        <w:rPr>
          <w:rFonts w:ascii="Times New Roman" w:hAnsi="Times New Roman"/>
          <w:sz w:val="22"/>
          <w:szCs w:val="28"/>
          <w:lang w:val="en-US"/>
        </w:rPr>
        <w:t xml:space="preserve"> </w:t>
      </w:r>
      <w:r w:rsidR="001E7F72" w:rsidRPr="0052001E">
        <w:rPr>
          <w:rFonts w:ascii="Times New Roman" w:hAnsi="Times New Roman"/>
          <w:sz w:val="22"/>
          <w:szCs w:val="28"/>
          <w:lang w:val="en-US"/>
        </w:rPr>
        <w:t>: Knowledge Platform</w:t>
      </w:r>
      <w:r w:rsidRPr="0052001E">
        <w:rPr>
          <w:rFonts w:ascii="Times New Roman" w:hAnsi="Times New Roman"/>
          <w:sz w:val="22"/>
          <w:szCs w:val="28"/>
          <w:lang w:val="en-US"/>
        </w:rPr>
        <w:t>. URL:</w:t>
      </w:r>
      <w:r w:rsidR="005B08BD" w:rsidRPr="0052001E">
        <w:rPr>
          <w:rFonts w:ascii="Times New Roman" w:hAnsi="Times New Roman"/>
          <w:sz w:val="22"/>
          <w:szCs w:val="28"/>
          <w:lang w:val="en-US"/>
        </w:rPr>
        <w:t xml:space="preserve"> </w:t>
      </w:r>
      <w:hyperlink r:id="rId8" w:history="1">
        <w:r w:rsidR="005B08BD" w:rsidRPr="0052001E">
          <w:rPr>
            <w:rStyle w:val="a7"/>
            <w:rFonts w:ascii="Times New Roman" w:hAnsi="Times New Roman"/>
            <w:sz w:val="22"/>
            <w:szCs w:val="28"/>
            <w:lang w:val="en-US"/>
          </w:rPr>
          <w:t>https://sustainabledevelopment.un.org/owg.html</w:t>
        </w:r>
      </w:hyperlink>
      <w:r w:rsidR="005B08BD" w:rsidRPr="0052001E">
        <w:rPr>
          <w:rFonts w:ascii="Times New Roman" w:hAnsi="Times New Roman"/>
          <w:sz w:val="22"/>
          <w:szCs w:val="28"/>
          <w:lang w:val="en-US"/>
        </w:rPr>
        <w:t xml:space="preserve"> </w:t>
      </w:r>
      <w:r w:rsidRPr="0052001E">
        <w:rPr>
          <w:rFonts w:ascii="Times New Roman" w:hAnsi="Times New Roman"/>
          <w:sz w:val="22"/>
          <w:szCs w:val="28"/>
          <w:lang w:val="en-US"/>
        </w:rPr>
        <w:t>(</w:t>
      </w:r>
      <w:r w:rsidRPr="0052001E">
        <w:rPr>
          <w:rFonts w:ascii="Times New Roman" w:hAnsi="Times New Roman"/>
          <w:sz w:val="22"/>
          <w:szCs w:val="28"/>
        </w:rPr>
        <w:t>д</w:t>
      </w:r>
      <w:r w:rsidR="005B08BD" w:rsidRPr="0052001E">
        <w:rPr>
          <w:rFonts w:ascii="Times New Roman" w:hAnsi="Times New Roman"/>
          <w:sz w:val="22"/>
          <w:szCs w:val="28"/>
        </w:rPr>
        <w:t>ата</w:t>
      </w:r>
      <w:r w:rsidR="005B08BD" w:rsidRPr="0052001E">
        <w:rPr>
          <w:rFonts w:ascii="Times New Roman" w:hAnsi="Times New Roman"/>
          <w:sz w:val="22"/>
          <w:szCs w:val="28"/>
          <w:lang w:val="en-US"/>
        </w:rPr>
        <w:t xml:space="preserve"> </w:t>
      </w:r>
      <w:r w:rsidR="005B08BD" w:rsidRPr="0052001E">
        <w:rPr>
          <w:rFonts w:ascii="Times New Roman" w:hAnsi="Times New Roman"/>
          <w:sz w:val="22"/>
          <w:szCs w:val="28"/>
        </w:rPr>
        <w:t>обращения</w:t>
      </w:r>
      <w:r w:rsidRPr="0052001E">
        <w:rPr>
          <w:rFonts w:ascii="Times New Roman" w:hAnsi="Times New Roman"/>
          <w:sz w:val="22"/>
          <w:szCs w:val="28"/>
          <w:lang w:val="en-US"/>
        </w:rPr>
        <w:t>:</w:t>
      </w:r>
      <w:r w:rsidR="005B08BD" w:rsidRPr="0052001E">
        <w:rPr>
          <w:rFonts w:ascii="Times New Roman" w:hAnsi="Times New Roman"/>
          <w:sz w:val="22"/>
          <w:szCs w:val="28"/>
          <w:lang w:val="en-US"/>
        </w:rPr>
        <w:t xml:space="preserve"> 30.08.2018</w:t>
      </w:r>
      <w:r w:rsidRPr="0052001E">
        <w:rPr>
          <w:rFonts w:ascii="Times New Roman" w:hAnsi="Times New Roman"/>
          <w:sz w:val="22"/>
          <w:szCs w:val="28"/>
          <w:lang w:val="en-US"/>
        </w:rPr>
        <w:t>)</w:t>
      </w:r>
      <w:r w:rsidR="005B08BD" w:rsidRPr="0052001E">
        <w:rPr>
          <w:rFonts w:ascii="Times New Roman" w:hAnsi="Times New Roman"/>
          <w:sz w:val="22"/>
          <w:szCs w:val="28"/>
          <w:lang w:val="en-US"/>
        </w:rPr>
        <w:t>.</w:t>
      </w:r>
      <w:bookmarkEnd w:id="1"/>
    </w:p>
    <w:p w:rsidR="005B08BD" w:rsidRPr="0052001E" w:rsidRDefault="008B0242" w:rsidP="0052001E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2"/>
          <w:szCs w:val="28"/>
          <w:lang w:val="ru-RU"/>
        </w:rPr>
      </w:pPr>
      <w:bookmarkStart w:id="2" w:name="_Ref524695902"/>
      <w:r w:rsidRPr="0052001E">
        <w:rPr>
          <w:rFonts w:ascii="Times New Roman" w:hAnsi="Times New Roman"/>
          <w:sz w:val="22"/>
          <w:szCs w:val="28"/>
          <w:lang w:val="en-US"/>
        </w:rPr>
        <w:lastRenderedPageBreak/>
        <w:t xml:space="preserve">The Future We Want Includes Culture </w:t>
      </w:r>
      <w:r w:rsidR="00CA38C3" w:rsidRPr="0052001E">
        <w:rPr>
          <w:rFonts w:ascii="Times New Roman" w:hAnsi="Times New Roman"/>
          <w:sz w:val="22"/>
          <w:szCs w:val="28"/>
          <w:lang w:val="en-US"/>
        </w:rPr>
        <w:t xml:space="preserve">// </w:t>
      </w:r>
      <w:r w:rsidRPr="0052001E">
        <w:rPr>
          <w:rFonts w:ascii="Times New Roman" w:hAnsi="Times New Roman"/>
          <w:sz w:val="22"/>
          <w:szCs w:val="28"/>
          <w:lang w:val="en-US"/>
        </w:rPr>
        <w:t>FindItNearMe.co</w:t>
      </w:r>
      <w:r w:rsidR="005B08BD" w:rsidRPr="0052001E">
        <w:rPr>
          <w:rFonts w:ascii="Times New Roman" w:hAnsi="Times New Roman"/>
          <w:sz w:val="22"/>
          <w:szCs w:val="28"/>
          <w:lang w:val="en-US"/>
        </w:rPr>
        <w:t>,</w:t>
      </w:r>
      <w:r w:rsidR="005B08BD" w:rsidRPr="0052001E">
        <w:rPr>
          <w:rFonts w:ascii="Times New Roman" w:eastAsia="Times New Roman" w:hAnsi="Times New Roman"/>
          <w:color w:val="000000"/>
          <w:sz w:val="22"/>
          <w:szCs w:val="28"/>
          <w:lang w:val="en-US" w:eastAsia="ru-RU"/>
        </w:rPr>
        <w:t xml:space="preserve"> 2015</w:t>
      </w:r>
      <w:r w:rsidR="007A62B4" w:rsidRPr="0052001E">
        <w:rPr>
          <w:rFonts w:ascii="Times New Roman" w:eastAsia="Times New Roman" w:hAnsi="Times New Roman"/>
          <w:color w:val="000000"/>
          <w:sz w:val="22"/>
          <w:szCs w:val="28"/>
          <w:lang w:val="en-US" w:eastAsia="ru-RU"/>
        </w:rPr>
        <w:t>, 12 February</w:t>
      </w:r>
      <w:r w:rsidR="005B08BD" w:rsidRPr="0052001E">
        <w:rPr>
          <w:rFonts w:ascii="Times New Roman" w:eastAsia="Times New Roman" w:hAnsi="Times New Roman"/>
          <w:color w:val="000000"/>
          <w:sz w:val="22"/>
          <w:szCs w:val="28"/>
          <w:lang w:val="en-US" w:eastAsia="ru-RU"/>
        </w:rPr>
        <w:t xml:space="preserve">. </w:t>
      </w:r>
      <w:r w:rsidR="007A62B4" w:rsidRPr="0052001E">
        <w:rPr>
          <w:rFonts w:ascii="Times New Roman" w:hAnsi="Times New Roman"/>
          <w:sz w:val="22"/>
          <w:szCs w:val="28"/>
          <w:lang w:val="en-US"/>
        </w:rPr>
        <w:t>URL</w:t>
      </w:r>
      <w:r w:rsidR="005B08BD" w:rsidRPr="0052001E">
        <w:rPr>
          <w:rFonts w:ascii="Times New Roman" w:hAnsi="Times New Roman"/>
          <w:sz w:val="22"/>
          <w:szCs w:val="28"/>
          <w:lang w:val="en-US"/>
        </w:rPr>
        <w:t>:</w:t>
      </w:r>
      <w:r w:rsidR="00EF4EB6" w:rsidRPr="0052001E">
        <w:rPr>
          <w:rFonts w:ascii="Times New Roman" w:hAnsi="Times New Roman"/>
          <w:sz w:val="22"/>
          <w:szCs w:val="28"/>
          <w:lang w:val="en-US"/>
        </w:rPr>
        <w:t xml:space="preserve"> </w:t>
      </w:r>
      <w:hyperlink r:id="rId9" w:history="1">
        <w:r w:rsidR="005B08BD" w:rsidRPr="0052001E">
          <w:rPr>
            <w:rStyle w:val="a7"/>
            <w:rFonts w:ascii="Times New Roman" w:hAnsi="Times New Roman"/>
            <w:sz w:val="22"/>
            <w:szCs w:val="28"/>
            <w:lang w:val="en-US"/>
          </w:rPr>
          <w:t>http://culture2015goal.net/wp-content/uploads/Documents/Indicators_EN.pdf</w:t>
        </w:r>
      </w:hyperlink>
      <w:r w:rsidR="005B08BD" w:rsidRPr="0052001E">
        <w:rPr>
          <w:rFonts w:ascii="Times New Roman" w:hAnsi="Times New Roman"/>
          <w:sz w:val="22"/>
          <w:szCs w:val="28"/>
          <w:lang w:val="en-US"/>
        </w:rPr>
        <w:t>.</w:t>
      </w:r>
      <w:r w:rsidR="00EF4EB6" w:rsidRPr="0052001E">
        <w:rPr>
          <w:rFonts w:ascii="Times New Roman" w:hAnsi="Times New Roman"/>
          <w:sz w:val="22"/>
          <w:szCs w:val="28"/>
          <w:lang w:val="en-US"/>
        </w:rPr>
        <w:t xml:space="preserve"> </w:t>
      </w:r>
      <w:r w:rsidR="00D85475" w:rsidRPr="0052001E">
        <w:rPr>
          <w:rFonts w:ascii="Times New Roman" w:hAnsi="Times New Roman"/>
          <w:sz w:val="22"/>
          <w:szCs w:val="28"/>
        </w:rPr>
        <w:t>(</w:t>
      </w:r>
      <w:r w:rsidR="000D4AB4" w:rsidRPr="0052001E">
        <w:rPr>
          <w:rFonts w:ascii="Times New Roman" w:hAnsi="Times New Roman"/>
          <w:sz w:val="22"/>
          <w:szCs w:val="28"/>
        </w:rPr>
        <w:t>д</w:t>
      </w:r>
      <w:r w:rsidR="005B08BD" w:rsidRPr="0052001E">
        <w:rPr>
          <w:rFonts w:ascii="Times New Roman" w:hAnsi="Times New Roman"/>
          <w:sz w:val="22"/>
          <w:szCs w:val="28"/>
        </w:rPr>
        <w:t>ата</w:t>
      </w:r>
      <w:r w:rsidR="005B08BD" w:rsidRPr="0052001E">
        <w:rPr>
          <w:rFonts w:ascii="Times New Roman" w:hAnsi="Times New Roman"/>
          <w:sz w:val="22"/>
          <w:szCs w:val="28"/>
          <w:lang w:val="ru-RU"/>
        </w:rPr>
        <w:t xml:space="preserve"> </w:t>
      </w:r>
      <w:r w:rsidR="005B08BD" w:rsidRPr="0052001E">
        <w:rPr>
          <w:rFonts w:ascii="Times New Roman" w:hAnsi="Times New Roman"/>
          <w:sz w:val="22"/>
          <w:szCs w:val="28"/>
        </w:rPr>
        <w:t>обращения</w:t>
      </w:r>
      <w:r w:rsidR="005B08BD" w:rsidRPr="0052001E">
        <w:rPr>
          <w:rFonts w:ascii="Times New Roman" w:hAnsi="Times New Roman"/>
          <w:sz w:val="22"/>
          <w:szCs w:val="28"/>
          <w:lang w:val="ru-RU"/>
        </w:rPr>
        <w:t xml:space="preserve"> 30.08.2018</w:t>
      </w:r>
      <w:r w:rsidR="00D85475" w:rsidRPr="0052001E">
        <w:rPr>
          <w:rFonts w:ascii="Times New Roman" w:hAnsi="Times New Roman"/>
          <w:sz w:val="22"/>
          <w:szCs w:val="28"/>
        </w:rPr>
        <w:t>)</w:t>
      </w:r>
      <w:r w:rsidR="005B08BD" w:rsidRPr="0052001E">
        <w:rPr>
          <w:rFonts w:ascii="Times New Roman" w:hAnsi="Times New Roman"/>
          <w:sz w:val="22"/>
          <w:szCs w:val="28"/>
          <w:lang w:val="ru-RU"/>
        </w:rPr>
        <w:t>.</w:t>
      </w:r>
      <w:bookmarkEnd w:id="2"/>
    </w:p>
    <w:p w:rsidR="005B08BD" w:rsidRPr="00C75088" w:rsidRDefault="005B08BD" w:rsidP="0052001E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2"/>
          <w:szCs w:val="28"/>
          <w:lang w:val="ru-RU"/>
        </w:rPr>
      </w:pPr>
      <w:bookmarkStart w:id="3" w:name="_Ref524696213"/>
      <w:r w:rsidRPr="00C75088">
        <w:rPr>
          <w:rFonts w:ascii="Times New Roman" w:hAnsi="Times New Roman"/>
          <w:sz w:val="22"/>
          <w:szCs w:val="28"/>
          <w:lang w:val="ru-RU"/>
        </w:rPr>
        <w:t xml:space="preserve">Повестка </w:t>
      </w:r>
      <w:r w:rsidRPr="0052001E">
        <w:rPr>
          <w:rFonts w:ascii="Times New Roman" w:hAnsi="Times New Roman"/>
          <w:sz w:val="22"/>
          <w:szCs w:val="28"/>
          <w:lang w:val="en-US"/>
        </w:rPr>
        <w:t>XXI</w:t>
      </w:r>
      <w:r w:rsidRPr="00C75088">
        <w:rPr>
          <w:rFonts w:ascii="Times New Roman" w:hAnsi="Times New Roman"/>
          <w:sz w:val="22"/>
          <w:szCs w:val="28"/>
          <w:lang w:val="ru-RU"/>
        </w:rPr>
        <w:t xml:space="preserve"> века для культуры. Как использовать на местном уровне принципы Повестки </w:t>
      </w:r>
      <w:r w:rsidRPr="0052001E">
        <w:rPr>
          <w:rFonts w:ascii="Times New Roman" w:hAnsi="Times New Roman"/>
          <w:sz w:val="22"/>
          <w:szCs w:val="28"/>
          <w:lang w:val="en-US"/>
        </w:rPr>
        <w:t>XXI</w:t>
      </w:r>
      <w:r w:rsidRPr="00C75088">
        <w:rPr>
          <w:rFonts w:ascii="Times New Roman" w:hAnsi="Times New Roman"/>
          <w:sz w:val="22"/>
          <w:szCs w:val="28"/>
          <w:lang w:val="ru-RU"/>
        </w:rPr>
        <w:t xml:space="preserve"> века для культуры. Рекомендации</w:t>
      </w:r>
      <w:r w:rsidR="00904462" w:rsidRPr="00C75088">
        <w:rPr>
          <w:rFonts w:ascii="Times New Roman" w:hAnsi="Times New Roman"/>
          <w:sz w:val="22"/>
          <w:szCs w:val="28"/>
          <w:lang w:val="ru-RU"/>
        </w:rPr>
        <w:t>,</w:t>
      </w:r>
      <w:r w:rsidRPr="00C75088">
        <w:rPr>
          <w:rFonts w:ascii="Times New Roman" w:hAnsi="Times New Roman"/>
          <w:sz w:val="22"/>
          <w:szCs w:val="28"/>
          <w:lang w:val="ru-RU"/>
        </w:rPr>
        <w:t xml:space="preserve"> 2006.</w:t>
      </w:r>
      <w:r w:rsidR="00904462" w:rsidRPr="00C75088">
        <w:rPr>
          <w:rFonts w:ascii="Times New Roman" w:hAnsi="Times New Roman"/>
          <w:sz w:val="22"/>
          <w:szCs w:val="28"/>
          <w:lang w:val="ru-RU"/>
        </w:rPr>
        <w:t xml:space="preserve"> –</w:t>
      </w:r>
      <w:r w:rsidR="00D85475" w:rsidRPr="00C75088">
        <w:rPr>
          <w:rFonts w:ascii="Times New Roman" w:hAnsi="Times New Roman"/>
          <w:sz w:val="22"/>
          <w:szCs w:val="28"/>
          <w:lang w:val="ru-RU"/>
        </w:rPr>
        <w:t xml:space="preserve"> 10</w:t>
      </w:r>
      <w:r w:rsidR="00904462" w:rsidRPr="00C75088">
        <w:rPr>
          <w:rFonts w:ascii="Times New Roman" w:hAnsi="Times New Roman"/>
          <w:sz w:val="22"/>
          <w:szCs w:val="28"/>
          <w:lang w:val="ru-RU"/>
        </w:rPr>
        <w:t xml:space="preserve"> </w:t>
      </w:r>
      <w:r w:rsidR="00D85475" w:rsidRPr="00C75088">
        <w:rPr>
          <w:rFonts w:ascii="Times New Roman" w:hAnsi="Times New Roman"/>
          <w:sz w:val="22"/>
          <w:szCs w:val="28"/>
          <w:lang w:val="ru-RU"/>
        </w:rPr>
        <w:t>с.</w:t>
      </w:r>
      <w:r w:rsidRPr="00C75088">
        <w:rPr>
          <w:rFonts w:ascii="Times New Roman" w:hAnsi="Times New Roman"/>
          <w:sz w:val="22"/>
          <w:szCs w:val="28"/>
          <w:lang w:val="ru-RU"/>
        </w:rPr>
        <w:t xml:space="preserve"> </w:t>
      </w:r>
      <w:r w:rsidR="00D85475" w:rsidRPr="0052001E">
        <w:rPr>
          <w:rFonts w:ascii="Times New Roman" w:hAnsi="Times New Roman"/>
          <w:sz w:val="22"/>
          <w:szCs w:val="28"/>
        </w:rPr>
        <w:t>URL</w:t>
      </w:r>
      <w:r w:rsidRPr="00C75088">
        <w:rPr>
          <w:rFonts w:ascii="Times New Roman" w:hAnsi="Times New Roman"/>
          <w:sz w:val="22"/>
          <w:szCs w:val="28"/>
          <w:lang w:val="ru-RU"/>
        </w:rPr>
        <w:t xml:space="preserve">: </w:t>
      </w:r>
      <w:r w:rsidR="00D85475" w:rsidRPr="0052001E">
        <w:rPr>
          <w:rFonts w:ascii="Times New Roman" w:hAnsi="Times New Roman"/>
          <w:sz w:val="22"/>
          <w:szCs w:val="28"/>
        </w:rPr>
        <w:t>http</w:t>
      </w:r>
      <w:r w:rsidR="00D85475" w:rsidRPr="00C75088">
        <w:rPr>
          <w:rFonts w:ascii="Times New Roman" w:hAnsi="Times New Roman"/>
          <w:sz w:val="22"/>
          <w:szCs w:val="28"/>
          <w:lang w:val="ru-RU"/>
        </w:rPr>
        <w:t>://</w:t>
      </w:r>
      <w:r w:rsidR="00D85475" w:rsidRPr="0052001E">
        <w:rPr>
          <w:rFonts w:ascii="Times New Roman" w:hAnsi="Times New Roman"/>
          <w:sz w:val="22"/>
          <w:szCs w:val="28"/>
        </w:rPr>
        <w:t>www</w:t>
      </w:r>
      <w:r w:rsidR="00D85475" w:rsidRPr="00C75088">
        <w:rPr>
          <w:rFonts w:ascii="Times New Roman" w:hAnsi="Times New Roman"/>
          <w:sz w:val="22"/>
          <w:szCs w:val="28"/>
          <w:lang w:val="ru-RU"/>
        </w:rPr>
        <w:t>.</w:t>
      </w:r>
      <w:r w:rsidR="00D85475" w:rsidRPr="0052001E">
        <w:rPr>
          <w:rFonts w:ascii="Times New Roman" w:hAnsi="Times New Roman"/>
          <w:sz w:val="22"/>
          <w:szCs w:val="28"/>
        </w:rPr>
        <w:t>agenda</w:t>
      </w:r>
      <w:r w:rsidR="00D85475" w:rsidRPr="00C75088">
        <w:rPr>
          <w:rFonts w:ascii="Times New Roman" w:hAnsi="Times New Roman"/>
          <w:sz w:val="22"/>
          <w:szCs w:val="28"/>
          <w:lang w:val="ru-RU"/>
        </w:rPr>
        <w:t>21</w:t>
      </w:r>
      <w:r w:rsidR="00D85475" w:rsidRPr="0052001E">
        <w:rPr>
          <w:rFonts w:ascii="Times New Roman" w:hAnsi="Times New Roman"/>
          <w:sz w:val="22"/>
          <w:szCs w:val="28"/>
        </w:rPr>
        <w:t>culture</w:t>
      </w:r>
      <w:r w:rsidR="00D85475" w:rsidRPr="00C75088">
        <w:rPr>
          <w:rFonts w:ascii="Times New Roman" w:hAnsi="Times New Roman"/>
          <w:sz w:val="22"/>
          <w:szCs w:val="28"/>
          <w:lang w:val="ru-RU"/>
        </w:rPr>
        <w:t>.</w:t>
      </w:r>
      <w:r w:rsidR="00D85475" w:rsidRPr="0052001E">
        <w:rPr>
          <w:rFonts w:ascii="Times New Roman" w:hAnsi="Times New Roman"/>
          <w:sz w:val="22"/>
          <w:szCs w:val="28"/>
        </w:rPr>
        <w:t>net</w:t>
      </w:r>
      <w:r w:rsidR="00D85475" w:rsidRPr="00C75088">
        <w:rPr>
          <w:rFonts w:ascii="Times New Roman" w:hAnsi="Times New Roman"/>
          <w:sz w:val="22"/>
          <w:szCs w:val="28"/>
          <w:lang w:val="ru-RU"/>
        </w:rPr>
        <w:t>/</w:t>
      </w:r>
      <w:r w:rsidR="00D85475" w:rsidRPr="0052001E">
        <w:rPr>
          <w:rFonts w:ascii="Times New Roman" w:hAnsi="Times New Roman"/>
          <w:sz w:val="22"/>
          <w:szCs w:val="28"/>
        </w:rPr>
        <w:t>sites</w:t>
      </w:r>
      <w:r w:rsidR="00D85475" w:rsidRPr="00C75088">
        <w:rPr>
          <w:rFonts w:ascii="Times New Roman" w:hAnsi="Times New Roman"/>
          <w:sz w:val="22"/>
          <w:szCs w:val="28"/>
          <w:lang w:val="ru-RU"/>
        </w:rPr>
        <w:t>/</w:t>
      </w:r>
      <w:r w:rsidR="00D85475" w:rsidRPr="0052001E">
        <w:rPr>
          <w:rFonts w:ascii="Times New Roman" w:hAnsi="Times New Roman"/>
          <w:sz w:val="22"/>
          <w:szCs w:val="28"/>
        </w:rPr>
        <w:t>default</w:t>
      </w:r>
      <w:r w:rsidR="00D85475" w:rsidRPr="00C75088">
        <w:rPr>
          <w:rFonts w:ascii="Times New Roman" w:hAnsi="Times New Roman"/>
          <w:sz w:val="22"/>
          <w:szCs w:val="28"/>
          <w:lang w:val="ru-RU"/>
        </w:rPr>
        <w:t>/</w:t>
      </w:r>
      <w:r w:rsidR="00D85475" w:rsidRPr="0052001E">
        <w:rPr>
          <w:rFonts w:ascii="Times New Roman" w:hAnsi="Times New Roman"/>
          <w:sz w:val="22"/>
          <w:szCs w:val="28"/>
        </w:rPr>
        <w:t>files</w:t>
      </w:r>
      <w:r w:rsidR="00D85475" w:rsidRPr="00C75088">
        <w:rPr>
          <w:rFonts w:ascii="Times New Roman" w:hAnsi="Times New Roman"/>
          <w:sz w:val="22"/>
          <w:szCs w:val="28"/>
          <w:lang w:val="ru-RU"/>
        </w:rPr>
        <w:t>/</w:t>
      </w:r>
      <w:r w:rsidR="00D85475" w:rsidRPr="0052001E">
        <w:rPr>
          <w:rFonts w:ascii="Times New Roman" w:hAnsi="Times New Roman"/>
          <w:sz w:val="22"/>
          <w:szCs w:val="28"/>
        </w:rPr>
        <w:t>files</w:t>
      </w:r>
      <w:r w:rsidR="00D85475" w:rsidRPr="00C75088">
        <w:rPr>
          <w:rFonts w:ascii="Times New Roman" w:hAnsi="Times New Roman"/>
          <w:sz w:val="22"/>
          <w:szCs w:val="28"/>
          <w:lang w:val="ru-RU"/>
        </w:rPr>
        <w:t>/</w:t>
      </w:r>
      <w:r w:rsidR="00D85475" w:rsidRPr="0052001E">
        <w:rPr>
          <w:rFonts w:ascii="Times New Roman" w:hAnsi="Times New Roman"/>
          <w:sz w:val="22"/>
          <w:szCs w:val="28"/>
        </w:rPr>
        <w:t>documents</w:t>
      </w:r>
      <w:r w:rsidR="00D85475" w:rsidRPr="00C75088">
        <w:rPr>
          <w:rFonts w:ascii="Times New Roman" w:hAnsi="Times New Roman"/>
          <w:sz w:val="22"/>
          <w:szCs w:val="28"/>
          <w:lang w:val="ru-RU"/>
        </w:rPr>
        <w:t>/</w:t>
      </w:r>
      <w:r w:rsidR="00D85475" w:rsidRPr="0052001E">
        <w:rPr>
          <w:rFonts w:ascii="Times New Roman" w:hAnsi="Times New Roman"/>
          <w:sz w:val="22"/>
          <w:szCs w:val="28"/>
        </w:rPr>
        <w:t>multi</w:t>
      </w:r>
      <w:r w:rsidR="00D85475" w:rsidRPr="00C75088">
        <w:rPr>
          <w:rFonts w:ascii="Times New Roman" w:hAnsi="Times New Roman"/>
          <w:sz w:val="22"/>
          <w:szCs w:val="28"/>
          <w:lang w:val="ru-RU"/>
        </w:rPr>
        <w:t>/</w:t>
      </w:r>
      <w:r w:rsidR="00D85475" w:rsidRPr="0052001E">
        <w:rPr>
          <w:rFonts w:ascii="Times New Roman" w:hAnsi="Times New Roman"/>
          <w:sz w:val="22"/>
          <w:szCs w:val="28"/>
        </w:rPr>
        <w:t>imple</w:t>
      </w:r>
      <w:r w:rsidR="00D85475" w:rsidRPr="00C75088">
        <w:rPr>
          <w:rFonts w:ascii="Times New Roman" w:hAnsi="Times New Roman"/>
          <w:sz w:val="22"/>
          <w:szCs w:val="28"/>
          <w:lang w:val="ru-RU"/>
        </w:rPr>
        <w:t>_</w:t>
      </w:r>
      <w:r w:rsidR="00D85475" w:rsidRPr="0052001E">
        <w:rPr>
          <w:rFonts w:ascii="Times New Roman" w:hAnsi="Times New Roman"/>
          <w:sz w:val="22"/>
          <w:szCs w:val="28"/>
        </w:rPr>
        <w:t>rus</w:t>
      </w:r>
      <w:r w:rsidR="00D85475" w:rsidRPr="00C75088">
        <w:rPr>
          <w:rFonts w:ascii="Times New Roman" w:hAnsi="Times New Roman"/>
          <w:sz w:val="22"/>
          <w:szCs w:val="28"/>
          <w:lang w:val="ru-RU"/>
        </w:rPr>
        <w:t>.</w:t>
      </w:r>
      <w:r w:rsidR="00D85475" w:rsidRPr="0052001E">
        <w:rPr>
          <w:rFonts w:ascii="Times New Roman" w:hAnsi="Times New Roman"/>
          <w:sz w:val="22"/>
          <w:szCs w:val="28"/>
        </w:rPr>
        <w:t>pdf</w:t>
      </w:r>
      <w:r w:rsidRPr="00C75088">
        <w:rPr>
          <w:rFonts w:ascii="Times New Roman" w:hAnsi="Times New Roman"/>
          <w:sz w:val="22"/>
          <w:szCs w:val="28"/>
          <w:lang w:val="ru-RU"/>
        </w:rPr>
        <w:t xml:space="preserve"> </w:t>
      </w:r>
      <w:r w:rsidR="00D85475" w:rsidRPr="00C75088">
        <w:rPr>
          <w:rFonts w:ascii="Times New Roman" w:hAnsi="Times New Roman"/>
          <w:sz w:val="22"/>
          <w:szCs w:val="28"/>
          <w:lang w:val="ru-RU"/>
        </w:rPr>
        <w:t>(</w:t>
      </w:r>
      <w:r w:rsidR="000D4AB4" w:rsidRPr="00C75088">
        <w:rPr>
          <w:rFonts w:ascii="Times New Roman" w:hAnsi="Times New Roman"/>
          <w:sz w:val="22"/>
          <w:szCs w:val="28"/>
          <w:lang w:val="ru-RU"/>
        </w:rPr>
        <w:t>д</w:t>
      </w:r>
      <w:r w:rsidRPr="00C75088">
        <w:rPr>
          <w:rFonts w:ascii="Times New Roman" w:hAnsi="Times New Roman"/>
          <w:sz w:val="22"/>
          <w:szCs w:val="28"/>
          <w:lang w:val="ru-RU"/>
        </w:rPr>
        <w:t xml:space="preserve">ата </w:t>
      </w:r>
      <w:r w:rsidR="00CA38C3" w:rsidRPr="00C75088">
        <w:rPr>
          <w:rFonts w:ascii="Times New Roman" w:hAnsi="Times New Roman"/>
          <w:sz w:val="22"/>
          <w:szCs w:val="28"/>
          <w:lang w:val="ru-RU"/>
        </w:rPr>
        <w:t>обращени</w:t>
      </w:r>
      <w:r w:rsidRPr="00C75088">
        <w:rPr>
          <w:rFonts w:ascii="Times New Roman" w:hAnsi="Times New Roman"/>
          <w:sz w:val="22"/>
          <w:szCs w:val="28"/>
          <w:lang w:val="ru-RU"/>
        </w:rPr>
        <w:t>я 30.08.2018</w:t>
      </w:r>
      <w:r w:rsidR="00D85475" w:rsidRPr="00C75088">
        <w:rPr>
          <w:rFonts w:ascii="Times New Roman" w:hAnsi="Times New Roman"/>
          <w:sz w:val="22"/>
          <w:szCs w:val="28"/>
          <w:lang w:val="ru-RU"/>
        </w:rPr>
        <w:t>)</w:t>
      </w:r>
      <w:r w:rsidRPr="00C75088">
        <w:rPr>
          <w:rFonts w:ascii="Times New Roman" w:hAnsi="Times New Roman"/>
          <w:sz w:val="22"/>
          <w:szCs w:val="28"/>
          <w:lang w:val="ru-RU"/>
        </w:rPr>
        <w:t>.</w:t>
      </w:r>
      <w:bookmarkEnd w:id="3"/>
    </w:p>
    <w:p w:rsidR="005B08BD" w:rsidRPr="0052001E" w:rsidRDefault="005B08BD" w:rsidP="0052001E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2"/>
          <w:szCs w:val="28"/>
          <w:lang w:val="en-US"/>
        </w:rPr>
      </w:pPr>
      <w:bookmarkStart w:id="4" w:name="_Ref524696057"/>
      <w:r w:rsidRPr="0052001E">
        <w:rPr>
          <w:rFonts w:ascii="Times New Roman" w:hAnsi="Times New Roman"/>
          <w:sz w:val="22"/>
          <w:szCs w:val="28"/>
          <w:lang w:val="en-US" w:eastAsia="ru-RU"/>
        </w:rPr>
        <w:t>W</w:t>
      </w:r>
      <w:r w:rsidRPr="0052001E">
        <w:rPr>
          <w:rFonts w:ascii="Times New Roman" w:hAnsi="Times New Roman"/>
          <w:sz w:val="22"/>
          <w:szCs w:val="28"/>
          <w:lang w:val="en-US"/>
        </w:rPr>
        <w:t>hy must culture be at the heart of sustainable urban dev</w:t>
      </w:r>
      <w:r w:rsidR="00D85475" w:rsidRPr="0052001E">
        <w:rPr>
          <w:rFonts w:ascii="Times New Roman" w:hAnsi="Times New Roman"/>
          <w:sz w:val="22"/>
          <w:szCs w:val="28"/>
          <w:lang w:val="en-US"/>
        </w:rPr>
        <w:t>elopment? Agenda 21 for culture /</w:t>
      </w:r>
      <w:r w:rsidRPr="0052001E">
        <w:rPr>
          <w:rFonts w:ascii="Times New Roman" w:hAnsi="Times New Roman"/>
          <w:sz w:val="22"/>
          <w:szCs w:val="28"/>
          <w:lang w:val="en-US"/>
        </w:rPr>
        <w:t xml:space="preserve"> N. Duxbury, J.Hosagrahar, J.Pascual</w:t>
      </w:r>
      <w:r w:rsidR="00D85475" w:rsidRPr="0052001E">
        <w:rPr>
          <w:rFonts w:ascii="Times New Roman" w:hAnsi="Times New Roman"/>
          <w:sz w:val="22"/>
          <w:szCs w:val="28"/>
          <w:lang w:val="en-US"/>
        </w:rPr>
        <w:t xml:space="preserve">. United Cities and Local Governments (UCLG), </w:t>
      </w:r>
      <w:r w:rsidRPr="0052001E">
        <w:rPr>
          <w:rFonts w:ascii="Times New Roman" w:hAnsi="Times New Roman"/>
          <w:sz w:val="22"/>
          <w:szCs w:val="28"/>
          <w:lang w:val="en-US"/>
        </w:rPr>
        <w:t>2016.</w:t>
      </w:r>
      <w:r w:rsidR="00904462" w:rsidRPr="0052001E">
        <w:rPr>
          <w:rFonts w:ascii="Times New Roman" w:hAnsi="Times New Roman"/>
          <w:sz w:val="22"/>
          <w:szCs w:val="28"/>
          <w:lang w:val="en-US"/>
        </w:rPr>
        <w:t xml:space="preserve"> –</w:t>
      </w:r>
      <w:r w:rsidR="00D85475" w:rsidRPr="0052001E">
        <w:rPr>
          <w:rFonts w:ascii="Times New Roman" w:hAnsi="Times New Roman"/>
          <w:sz w:val="22"/>
          <w:szCs w:val="28"/>
          <w:lang w:val="en-US"/>
        </w:rPr>
        <w:t xml:space="preserve"> 42</w:t>
      </w:r>
      <w:r w:rsidR="00904462" w:rsidRPr="0052001E">
        <w:rPr>
          <w:rFonts w:ascii="Times New Roman" w:hAnsi="Times New Roman"/>
          <w:sz w:val="22"/>
          <w:szCs w:val="28"/>
          <w:lang w:val="en-US"/>
        </w:rPr>
        <w:t xml:space="preserve"> </w:t>
      </w:r>
      <w:r w:rsidR="00D85475" w:rsidRPr="0052001E">
        <w:rPr>
          <w:rFonts w:ascii="Times New Roman" w:hAnsi="Times New Roman"/>
          <w:sz w:val="22"/>
          <w:szCs w:val="28"/>
          <w:lang w:val="en-US"/>
        </w:rPr>
        <w:t>p.</w:t>
      </w:r>
      <w:r w:rsidRPr="0052001E">
        <w:rPr>
          <w:rFonts w:ascii="Times New Roman" w:hAnsi="Times New Roman"/>
          <w:sz w:val="22"/>
          <w:szCs w:val="28"/>
          <w:lang w:val="en-US"/>
        </w:rPr>
        <w:t xml:space="preserve"> </w:t>
      </w:r>
      <w:r w:rsidR="00D85475" w:rsidRPr="0052001E">
        <w:rPr>
          <w:rFonts w:ascii="Times New Roman" w:hAnsi="Times New Roman"/>
          <w:sz w:val="22"/>
          <w:szCs w:val="28"/>
          <w:lang w:val="en-US"/>
        </w:rPr>
        <w:t>URL</w:t>
      </w:r>
      <w:r w:rsidRPr="0052001E">
        <w:rPr>
          <w:rFonts w:ascii="Times New Roman" w:hAnsi="Times New Roman"/>
          <w:sz w:val="22"/>
          <w:szCs w:val="28"/>
          <w:lang w:val="en-US"/>
        </w:rPr>
        <w:t xml:space="preserve">: </w:t>
      </w:r>
      <w:bookmarkEnd w:id="4"/>
      <w:r w:rsidR="00D85475" w:rsidRPr="0052001E">
        <w:rPr>
          <w:rFonts w:ascii="Times New Roman" w:hAnsi="Times New Roman"/>
          <w:sz w:val="22"/>
          <w:szCs w:val="28"/>
          <w:lang w:val="en-US"/>
        </w:rPr>
        <w:t>http://www.agenda21culture.net/sites/default/files/files/documents/en/culture_sd_cities_web.pdf (</w:t>
      </w:r>
      <w:r w:rsidR="000D4AB4" w:rsidRPr="0052001E">
        <w:rPr>
          <w:rFonts w:ascii="Times New Roman" w:hAnsi="Times New Roman"/>
          <w:sz w:val="22"/>
          <w:szCs w:val="28"/>
        </w:rPr>
        <w:t>д</w:t>
      </w:r>
      <w:r w:rsidR="00D85475" w:rsidRPr="0052001E">
        <w:rPr>
          <w:rFonts w:ascii="Times New Roman" w:hAnsi="Times New Roman"/>
          <w:sz w:val="22"/>
          <w:szCs w:val="28"/>
        </w:rPr>
        <w:t>ата</w:t>
      </w:r>
      <w:r w:rsidR="00D85475" w:rsidRPr="0052001E">
        <w:rPr>
          <w:rFonts w:ascii="Times New Roman" w:hAnsi="Times New Roman"/>
          <w:sz w:val="22"/>
          <w:szCs w:val="28"/>
          <w:lang w:val="en-US"/>
        </w:rPr>
        <w:t xml:space="preserve"> </w:t>
      </w:r>
      <w:r w:rsidR="00D85475" w:rsidRPr="0052001E">
        <w:rPr>
          <w:rFonts w:ascii="Times New Roman" w:hAnsi="Times New Roman"/>
          <w:sz w:val="22"/>
          <w:szCs w:val="28"/>
        </w:rPr>
        <w:t>обращения</w:t>
      </w:r>
      <w:r w:rsidR="00D85475" w:rsidRPr="0052001E">
        <w:rPr>
          <w:rFonts w:ascii="Times New Roman" w:hAnsi="Times New Roman"/>
          <w:sz w:val="22"/>
          <w:szCs w:val="28"/>
          <w:lang w:val="en-US"/>
        </w:rPr>
        <w:t xml:space="preserve"> 30.08.2018).</w:t>
      </w:r>
    </w:p>
    <w:p w:rsidR="005B08BD" w:rsidRPr="0052001E" w:rsidRDefault="005B08BD" w:rsidP="0052001E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2"/>
          <w:szCs w:val="28"/>
        </w:rPr>
      </w:pPr>
      <w:bookmarkStart w:id="5" w:name="_Ref524696060"/>
      <w:r w:rsidRPr="00C75088">
        <w:rPr>
          <w:rFonts w:ascii="Times New Roman" w:hAnsi="Times New Roman"/>
          <w:sz w:val="22"/>
          <w:szCs w:val="28"/>
          <w:lang w:val="ru-RU"/>
        </w:rPr>
        <w:t>Доступ и возможности для всех. Вклад библиотек в реализацию Повестки дня ООН до 2030 г</w:t>
      </w:r>
      <w:r w:rsidR="00904462" w:rsidRPr="00C75088">
        <w:rPr>
          <w:rFonts w:ascii="Times New Roman" w:hAnsi="Times New Roman"/>
          <w:sz w:val="22"/>
          <w:szCs w:val="28"/>
          <w:lang w:val="ru-RU"/>
        </w:rPr>
        <w:t>.</w:t>
      </w:r>
      <w:r w:rsidRPr="00C75088">
        <w:rPr>
          <w:rFonts w:ascii="Times New Roman" w:hAnsi="Times New Roman"/>
          <w:sz w:val="22"/>
          <w:szCs w:val="28"/>
          <w:lang w:val="ru-RU"/>
        </w:rPr>
        <w:t xml:space="preserve"> / </w:t>
      </w:r>
      <w:r w:rsidR="00904462" w:rsidRPr="00C75088">
        <w:rPr>
          <w:rFonts w:ascii="Times New Roman" w:hAnsi="Times New Roman"/>
          <w:sz w:val="22"/>
          <w:szCs w:val="28"/>
          <w:lang w:val="ru-RU"/>
        </w:rPr>
        <w:t>Пер</w:t>
      </w:r>
      <w:r w:rsidRPr="00C75088">
        <w:rPr>
          <w:rFonts w:ascii="Times New Roman" w:hAnsi="Times New Roman"/>
          <w:sz w:val="22"/>
          <w:szCs w:val="28"/>
          <w:lang w:val="ru-RU"/>
        </w:rPr>
        <w:t xml:space="preserve">. с англ. </w:t>
      </w:r>
      <w:r w:rsidRPr="0052001E">
        <w:rPr>
          <w:rFonts w:ascii="Times New Roman" w:hAnsi="Times New Roman"/>
          <w:sz w:val="22"/>
          <w:szCs w:val="28"/>
        </w:rPr>
        <w:t>И.В. Гайшун // Библиотековедение</w:t>
      </w:r>
      <w:r w:rsidR="00904462" w:rsidRPr="0052001E">
        <w:rPr>
          <w:rFonts w:ascii="Times New Roman" w:hAnsi="Times New Roman"/>
          <w:sz w:val="22"/>
          <w:szCs w:val="28"/>
        </w:rPr>
        <w:t xml:space="preserve">, </w:t>
      </w:r>
      <w:r w:rsidR="00246AC0" w:rsidRPr="0052001E">
        <w:rPr>
          <w:rFonts w:ascii="Times New Roman" w:hAnsi="Times New Roman"/>
          <w:sz w:val="22"/>
          <w:szCs w:val="28"/>
        </w:rPr>
        <w:t xml:space="preserve">2016. </w:t>
      </w:r>
      <w:r w:rsidRPr="0052001E">
        <w:rPr>
          <w:rFonts w:ascii="Times New Roman" w:hAnsi="Times New Roman"/>
          <w:sz w:val="22"/>
          <w:szCs w:val="28"/>
        </w:rPr>
        <w:t>Т.</w:t>
      </w:r>
      <w:r w:rsidR="00D85475" w:rsidRPr="0052001E">
        <w:rPr>
          <w:rFonts w:ascii="Times New Roman" w:hAnsi="Times New Roman"/>
          <w:sz w:val="22"/>
          <w:szCs w:val="28"/>
        </w:rPr>
        <w:t xml:space="preserve"> </w:t>
      </w:r>
      <w:r w:rsidRPr="0052001E">
        <w:rPr>
          <w:rFonts w:ascii="Times New Roman" w:hAnsi="Times New Roman"/>
          <w:sz w:val="22"/>
          <w:szCs w:val="28"/>
        </w:rPr>
        <w:t>65</w:t>
      </w:r>
      <w:r w:rsidR="00904462" w:rsidRPr="0052001E">
        <w:rPr>
          <w:rFonts w:ascii="Times New Roman" w:hAnsi="Times New Roman"/>
          <w:sz w:val="22"/>
          <w:szCs w:val="28"/>
        </w:rPr>
        <w:t>.</w:t>
      </w:r>
      <w:r w:rsidRPr="0052001E">
        <w:rPr>
          <w:rFonts w:ascii="Times New Roman" w:hAnsi="Times New Roman"/>
          <w:sz w:val="22"/>
          <w:szCs w:val="28"/>
        </w:rPr>
        <w:t xml:space="preserve"> №</w:t>
      </w:r>
      <w:r w:rsidR="00904462" w:rsidRPr="0052001E">
        <w:rPr>
          <w:rFonts w:ascii="Times New Roman" w:hAnsi="Times New Roman"/>
          <w:sz w:val="22"/>
          <w:szCs w:val="28"/>
        </w:rPr>
        <w:t xml:space="preserve"> </w:t>
      </w:r>
      <w:r w:rsidRPr="0052001E">
        <w:rPr>
          <w:rFonts w:ascii="Times New Roman" w:hAnsi="Times New Roman"/>
          <w:sz w:val="22"/>
          <w:szCs w:val="28"/>
        </w:rPr>
        <w:t xml:space="preserve">4. </w:t>
      </w:r>
      <w:r w:rsidR="00904462" w:rsidRPr="0052001E">
        <w:rPr>
          <w:rFonts w:ascii="Times New Roman" w:hAnsi="Times New Roman"/>
          <w:sz w:val="22"/>
          <w:szCs w:val="28"/>
        </w:rPr>
        <w:t xml:space="preserve">– </w:t>
      </w:r>
      <w:r w:rsidRPr="0052001E">
        <w:rPr>
          <w:rFonts w:ascii="Times New Roman" w:hAnsi="Times New Roman"/>
          <w:sz w:val="22"/>
          <w:szCs w:val="28"/>
        </w:rPr>
        <w:t>С.</w:t>
      </w:r>
      <w:r w:rsidR="00904462" w:rsidRPr="0052001E">
        <w:rPr>
          <w:rFonts w:ascii="Times New Roman" w:hAnsi="Times New Roman"/>
          <w:sz w:val="22"/>
          <w:szCs w:val="28"/>
          <w:lang w:val="en-US"/>
        </w:rPr>
        <w:t xml:space="preserve"> </w:t>
      </w:r>
      <w:r w:rsidR="00246AC0" w:rsidRPr="0052001E">
        <w:rPr>
          <w:rFonts w:ascii="Times New Roman" w:hAnsi="Times New Roman"/>
          <w:sz w:val="22"/>
          <w:szCs w:val="28"/>
        </w:rPr>
        <w:t>445</w:t>
      </w:r>
      <w:r w:rsidR="00904462" w:rsidRPr="0052001E">
        <w:rPr>
          <w:rFonts w:ascii="Times New Roman" w:hAnsi="Times New Roman"/>
          <w:sz w:val="22"/>
          <w:szCs w:val="28"/>
        </w:rPr>
        <w:t>-</w:t>
      </w:r>
      <w:r w:rsidR="00246AC0" w:rsidRPr="0052001E">
        <w:rPr>
          <w:rFonts w:ascii="Times New Roman" w:hAnsi="Times New Roman"/>
          <w:sz w:val="22"/>
          <w:szCs w:val="28"/>
        </w:rPr>
        <w:t>450</w:t>
      </w:r>
      <w:r w:rsidRPr="0052001E">
        <w:rPr>
          <w:rFonts w:ascii="Times New Roman" w:hAnsi="Times New Roman"/>
          <w:sz w:val="22"/>
          <w:szCs w:val="28"/>
        </w:rPr>
        <w:t>.</w:t>
      </w:r>
      <w:bookmarkEnd w:id="5"/>
      <w:r w:rsidR="00246AC0" w:rsidRPr="0052001E">
        <w:rPr>
          <w:rFonts w:ascii="Times New Roman" w:hAnsi="Times New Roman"/>
          <w:sz w:val="22"/>
          <w:szCs w:val="28"/>
          <w:lang w:val="ru-RU"/>
        </w:rPr>
        <w:t xml:space="preserve"> </w:t>
      </w:r>
      <w:r w:rsidR="00246AC0" w:rsidRPr="0052001E">
        <w:rPr>
          <w:rFonts w:ascii="Times New Roman" w:hAnsi="Times New Roman"/>
          <w:sz w:val="22"/>
          <w:szCs w:val="28"/>
          <w:lang w:val="en-US"/>
        </w:rPr>
        <w:t>DOI</w:t>
      </w:r>
      <w:r w:rsidR="00246AC0" w:rsidRPr="0052001E">
        <w:rPr>
          <w:rFonts w:ascii="Times New Roman" w:hAnsi="Times New Roman"/>
          <w:sz w:val="22"/>
          <w:szCs w:val="28"/>
          <w:lang w:val="ru-RU"/>
        </w:rPr>
        <w:t>: 10.25281/0869-608</w:t>
      </w:r>
      <w:r w:rsidR="00246AC0" w:rsidRPr="0052001E">
        <w:rPr>
          <w:rFonts w:ascii="Times New Roman" w:hAnsi="Times New Roman"/>
          <w:sz w:val="22"/>
          <w:szCs w:val="28"/>
          <w:lang w:val="en-US"/>
        </w:rPr>
        <w:t>X</w:t>
      </w:r>
      <w:r w:rsidR="00246AC0" w:rsidRPr="0052001E">
        <w:rPr>
          <w:rFonts w:ascii="Times New Roman" w:hAnsi="Times New Roman"/>
          <w:sz w:val="22"/>
          <w:szCs w:val="28"/>
          <w:lang w:val="ru-RU"/>
        </w:rPr>
        <w:t>-2016-65-4-445-450</w:t>
      </w:r>
    </w:p>
    <w:p w:rsidR="005B08BD" w:rsidRPr="00C75088" w:rsidRDefault="005B08BD" w:rsidP="0052001E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2"/>
          <w:szCs w:val="28"/>
          <w:lang w:val="ru-RU"/>
        </w:rPr>
      </w:pPr>
      <w:bookmarkStart w:id="6" w:name="_Ref524696365"/>
      <w:r w:rsidRPr="00C75088">
        <w:rPr>
          <w:rFonts w:ascii="Times New Roman" w:hAnsi="Times New Roman"/>
          <w:sz w:val="22"/>
          <w:szCs w:val="28"/>
          <w:lang w:val="ru-RU"/>
        </w:rPr>
        <w:t xml:space="preserve">Индикаторы устойчивого развития. Глава 3. </w:t>
      </w:r>
      <w:r w:rsidR="00CA38C3" w:rsidRPr="00C75088">
        <w:rPr>
          <w:rFonts w:ascii="Times New Roman" w:hAnsi="Times New Roman"/>
          <w:sz w:val="22"/>
          <w:szCs w:val="28"/>
          <w:lang w:val="ru-RU"/>
        </w:rPr>
        <w:t xml:space="preserve">// </w:t>
      </w:r>
      <w:r w:rsidRPr="00C75088">
        <w:rPr>
          <w:rFonts w:ascii="Times New Roman" w:hAnsi="Times New Roman"/>
          <w:sz w:val="22"/>
          <w:szCs w:val="28"/>
          <w:lang w:val="ru-RU"/>
        </w:rPr>
        <w:t xml:space="preserve">Устойчивое развитие: Новые вызовы: учебник для вузов / Под общ. </w:t>
      </w:r>
      <w:r w:rsidR="00904462" w:rsidRPr="00C75088">
        <w:rPr>
          <w:rFonts w:ascii="Times New Roman" w:hAnsi="Times New Roman"/>
          <w:sz w:val="22"/>
          <w:szCs w:val="28"/>
          <w:lang w:val="ru-RU"/>
        </w:rPr>
        <w:t>р</w:t>
      </w:r>
      <w:r w:rsidRPr="00C75088">
        <w:rPr>
          <w:rFonts w:ascii="Times New Roman" w:hAnsi="Times New Roman"/>
          <w:sz w:val="22"/>
          <w:szCs w:val="28"/>
          <w:lang w:val="ru-RU"/>
        </w:rPr>
        <w:t>ед. В.И.</w:t>
      </w:r>
      <w:r w:rsidR="00904462" w:rsidRPr="00C75088">
        <w:rPr>
          <w:rFonts w:ascii="Times New Roman" w:hAnsi="Times New Roman"/>
          <w:sz w:val="22"/>
          <w:szCs w:val="28"/>
          <w:lang w:val="ru-RU"/>
        </w:rPr>
        <w:t xml:space="preserve"> </w:t>
      </w:r>
      <w:r w:rsidRPr="00C75088">
        <w:rPr>
          <w:rFonts w:ascii="Times New Roman" w:hAnsi="Times New Roman"/>
          <w:sz w:val="22"/>
          <w:szCs w:val="28"/>
          <w:lang w:val="ru-RU"/>
        </w:rPr>
        <w:t>Данилова-Данильяна, Н.А.</w:t>
      </w:r>
      <w:r w:rsidR="00904462" w:rsidRPr="00C75088">
        <w:rPr>
          <w:rFonts w:ascii="Times New Roman" w:hAnsi="Times New Roman"/>
          <w:sz w:val="22"/>
          <w:szCs w:val="28"/>
          <w:lang w:val="ru-RU"/>
        </w:rPr>
        <w:t xml:space="preserve"> </w:t>
      </w:r>
      <w:r w:rsidRPr="00C75088">
        <w:rPr>
          <w:rFonts w:ascii="Times New Roman" w:hAnsi="Times New Roman"/>
          <w:sz w:val="22"/>
          <w:szCs w:val="28"/>
          <w:lang w:val="ru-RU"/>
        </w:rPr>
        <w:t>Пискуловой.</w:t>
      </w:r>
      <w:r w:rsidR="00904462" w:rsidRPr="00C75088">
        <w:rPr>
          <w:rFonts w:ascii="Times New Roman" w:hAnsi="Times New Roman"/>
          <w:sz w:val="22"/>
          <w:szCs w:val="28"/>
          <w:lang w:val="ru-RU"/>
        </w:rPr>
        <w:t xml:space="preserve"> – </w:t>
      </w:r>
      <w:r w:rsidR="00EF4EB6" w:rsidRPr="00C75088">
        <w:rPr>
          <w:rFonts w:ascii="Times New Roman" w:hAnsi="Times New Roman"/>
          <w:sz w:val="22"/>
          <w:szCs w:val="28"/>
          <w:lang w:val="ru-RU"/>
        </w:rPr>
        <w:t>М</w:t>
      </w:r>
      <w:r w:rsidR="00904462" w:rsidRPr="00C75088">
        <w:rPr>
          <w:rFonts w:ascii="Times New Roman" w:hAnsi="Times New Roman"/>
          <w:sz w:val="22"/>
          <w:szCs w:val="28"/>
          <w:lang w:val="ru-RU"/>
        </w:rPr>
        <w:t>.</w:t>
      </w:r>
      <w:r w:rsidRPr="00C75088">
        <w:rPr>
          <w:rFonts w:ascii="Times New Roman" w:hAnsi="Times New Roman"/>
          <w:sz w:val="22"/>
          <w:szCs w:val="28"/>
          <w:lang w:val="ru-RU"/>
        </w:rPr>
        <w:t xml:space="preserve">: «Аспект-Пресс», 2015. </w:t>
      </w:r>
      <w:r w:rsidR="00904462" w:rsidRPr="00C75088">
        <w:rPr>
          <w:rFonts w:ascii="Times New Roman" w:hAnsi="Times New Roman"/>
          <w:sz w:val="22"/>
          <w:szCs w:val="28"/>
          <w:lang w:val="ru-RU"/>
        </w:rPr>
        <w:t xml:space="preserve">– </w:t>
      </w:r>
      <w:r w:rsidRPr="00C75088">
        <w:rPr>
          <w:rFonts w:ascii="Times New Roman" w:hAnsi="Times New Roman"/>
          <w:sz w:val="22"/>
          <w:szCs w:val="28"/>
          <w:lang w:val="ru-RU"/>
        </w:rPr>
        <w:t>С.</w:t>
      </w:r>
      <w:r w:rsidR="00904462" w:rsidRPr="00C75088">
        <w:rPr>
          <w:rFonts w:ascii="Times New Roman" w:hAnsi="Times New Roman"/>
          <w:sz w:val="22"/>
          <w:szCs w:val="28"/>
          <w:lang w:val="ru-RU"/>
        </w:rPr>
        <w:t xml:space="preserve"> </w:t>
      </w:r>
      <w:r w:rsidRPr="00C75088">
        <w:rPr>
          <w:rFonts w:ascii="Times New Roman" w:hAnsi="Times New Roman"/>
          <w:sz w:val="22"/>
          <w:szCs w:val="28"/>
          <w:lang w:val="ru-RU"/>
        </w:rPr>
        <w:t>5</w:t>
      </w:r>
      <w:r w:rsidR="00EF4EB6" w:rsidRPr="00C75088">
        <w:rPr>
          <w:rFonts w:ascii="Times New Roman" w:hAnsi="Times New Roman"/>
          <w:sz w:val="22"/>
          <w:szCs w:val="28"/>
          <w:lang w:val="ru-RU"/>
        </w:rPr>
        <w:t>6</w:t>
      </w:r>
      <w:r w:rsidR="00904462" w:rsidRPr="00C75088">
        <w:rPr>
          <w:rFonts w:ascii="Times New Roman" w:hAnsi="Times New Roman"/>
          <w:sz w:val="22"/>
          <w:szCs w:val="28"/>
          <w:lang w:val="ru-RU"/>
        </w:rPr>
        <w:t>-</w:t>
      </w:r>
      <w:r w:rsidR="00EF4EB6" w:rsidRPr="00C75088">
        <w:rPr>
          <w:rFonts w:ascii="Times New Roman" w:hAnsi="Times New Roman"/>
          <w:sz w:val="22"/>
          <w:szCs w:val="28"/>
          <w:lang w:val="ru-RU"/>
        </w:rPr>
        <w:t>7</w:t>
      </w:r>
      <w:r w:rsidRPr="00C75088">
        <w:rPr>
          <w:rFonts w:ascii="Times New Roman" w:hAnsi="Times New Roman"/>
          <w:sz w:val="22"/>
          <w:szCs w:val="28"/>
          <w:lang w:val="ru-RU"/>
        </w:rPr>
        <w:t>5.</w:t>
      </w:r>
      <w:bookmarkEnd w:id="6"/>
    </w:p>
    <w:p w:rsidR="005B08BD" w:rsidRPr="00C75088" w:rsidRDefault="005B08BD" w:rsidP="0052001E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2"/>
          <w:szCs w:val="28"/>
          <w:lang w:val="ru-RU"/>
        </w:rPr>
      </w:pPr>
      <w:bookmarkStart w:id="7" w:name="_Ref524696380"/>
      <w:r w:rsidRPr="00C75088">
        <w:rPr>
          <w:rFonts w:ascii="Times New Roman" w:hAnsi="Times New Roman"/>
          <w:sz w:val="22"/>
          <w:szCs w:val="28"/>
          <w:lang w:val="ru-RU"/>
        </w:rPr>
        <w:t xml:space="preserve">Тарасова Н.П., Кручина Е.Б. Индексы и </w:t>
      </w:r>
      <w:r w:rsidR="00246AC0" w:rsidRPr="00C75088">
        <w:rPr>
          <w:rFonts w:ascii="Times New Roman" w:hAnsi="Times New Roman"/>
          <w:sz w:val="22"/>
          <w:szCs w:val="28"/>
          <w:lang w:val="ru-RU"/>
        </w:rPr>
        <w:t xml:space="preserve">индикаторы устойчивого развития // </w:t>
      </w:r>
      <w:r w:rsidR="000D4AB4" w:rsidRPr="00C75088">
        <w:rPr>
          <w:rFonts w:ascii="Times New Roman" w:hAnsi="Times New Roman"/>
          <w:sz w:val="22"/>
          <w:szCs w:val="28"/>
          <w:lang w:val="ru-RU"/>
        </w:rPr>
        <w:t>Устойчивое развити</w:t>
      </w:r>
      <w:r w:rsidR="00904462" w:rsidRPr="00C75088">
        <w:rPr>
          <w:rFonts w:ascii="Times New Roman" w:hAnsi="Times New Roman"/>
          <w:sz w:val="22"/>
          <w:szCs w:val="28"/>
          <w:lang w:val="ru-RU"/>
        </w:rPr>
        <w:t>е: природа – общество — человек</w:t>
      </w:r>
      <w:r w:rsidR="000D4AB4" w:rsidRPr="00C75088">
        <w:rPr>
          <w:rFonts w:ascii="Times New Roman" w:hAnsi="Times New Roman"/>
          <w:sz w:val="22"/>
          <w:szCs w:val="28"/>
          <w:lang w:val="ru-RU"/>
        </w:rPr>
        <w:t xml:space="preserve">: материалы международной конференции. </w:t>
      </w:r>
      <w:r w:rsidR="00904462" w:rsidRPr="00C75088">
        <w:rPr>
          <w:rFonts w:ascii="Times New Roman" w:hAnsi="Times New Roman"/>
          <w:sz w:val="22"/>
          <w:szCs w:val="28"/>
          <w:lang w:val="ru-RU"/>
        </w:rPr>
        <w:t xml:space="preserve">– </w:t>
      </w:r>
      <w:r w:rsidR="000D4AB4" w:rsidRPr="00C75088">
        <w:rPr>
          <w:rFonts w:ascii="Times New Roman" w:hAnsi="Times New Roman"/>
          <w:sz w:val="22"/>
          <w:szCs w:val="28"/>
          <w:lang w:val="ru-RU"/>
        </w:rPr>
        <w:t>М</w:t>
      </w:r>
      <w:r w:rsidR="00904462" w:rsidRPr="00C75088">
        <w:rPr>
          <w:rFonts w:ascii="Times New Roman" w:hAnsi="Times New Roman"/>
          <w:sz w:val="22"/>
          <w:szCs w:val="28"/>
          <w:lang w:val="ru-RU"/>
        </w:rPr>
        <w:t>.</w:t>
      </w:r>
      <w:r w:rsidR="000D4AB4" w:rsidRPr="00C75088">
        <w:rPr>
          <w:rFonts w:ascii="Times New Roman" w:hAnsi="Times New Roman"/>
          <w:sz w:val="22"/>
          <w:szCs w:val="28"/>
          <w:lang w:val="ru-RU"/>
        </w:rPr>
        <w:t>, 2006.</w:t>
      </w:r>
      <w:r w:rsidR="00904462" w:rsidRPr="00C75088">
        <w:rPr>
          <w:rFonts w:ascii="Times New Roman" w:hAnsi="Times New Roman"/>
          <w:sz w:val="22"/>
          <w:szCs w:val="28"/>
          <w:lang w:val="ru-RU"/>
        </w:rPr>
        <w:t xml:space="preserve"> </w:t>
      </w:r>
      <w:r w:rsidR="000D4AB4" w:rsidRPr="00C75088">
        <w:rPr>
          <w:rFonts w:ascii="Times New Roman" w:hAnsi="Times New Roman"/>
          <w:sz w:val="22"/>
          <w:szCs w:val="28"/>
          <w:lang w:val="ru-RU"/>
        </w:rPr>
        <w:t>Т.</w:t>
      </w:r>
      <w:r w:rsidR="00904462" w:rsidRPr="00C75088">
        <w:rPr>
          <w:rFonts w:ascii="Times New Roman" w:hAnsi="Times New Roman"/>
          <w:sz w:val="22"/>
          <w:szCs w:val="28"/>
          <w:lang w:val="ru-RU"/>
        </w:rPr>
        <w:t xml:space="preserve"> </w:t>
      </w:r>
      <w:r w:rsidR="000D4AB4" w:rsidRPr="00C75088">
        <w:rPr>
          <w:rFonts w:ascii="Times New Roman" w:hAnsi="Times New Roman"/>
          <w:sz w:val="22"/>
          <w:szCs w:val="28"/>
          <w:lang w:val="ru-RU"/>
        </w:rPr>
        <w:t>2. С.</w:t>
      </w:r>
      <w:r w:rsidR="00904462" w:rsidRPr="00C75088">
        <w:rPr>
          <w:rFonts w:ascii="Times New Roman" w:hAnsi="Times New Roman"/>
          <w:sz w:val="22"/>
          <w:szCs w:val="28"/>
          <w:lang w:val="ru-RU"/>
        </w:rPr>
        <w:t xml:space="preserve"> </w:t>
      </w:r>
      <w:r w:rsidR="000D4AB4" w:rsidRPr="00C75088">
        <w:rPr>
          <w:rFonts w:ascii="Times New Roman" w:hAnsi="Times New Roman"/>
          <w:sz w:val="22"/>
          <w:szCs w:val="28"/>
          <w:lang w:val="ru-RU"/>
        </w:rPr>
        <w:t>127</w:t>
      </w:r>
      <w:r w:rsidR="00904462" w:rsidRPr="00C75088">
        <w:rPr>
          <w:rFonts w:ascii="Times New Roman" w:hAnsi="Times New Roman"/>
          <w:sz w:val="22"/>
          <w:szCs w:val="28"/>
          <w:lang w:val="ru-RU"/>
        </w:rPr>
        <w:t>-</w:t>
      </w:r>
      <w:r w:rsidR="000D4AB4" w:rsidRPr="00C75088">
        <w:rPr>
          <w:rFonts w:ascii="Times New Roman" w:hAnsi="Times New Roman"/>
          <w:sz w:val="22"/>
          <w:szCs w:val="28"/>
          <w:lang w:val="ru-RU"/>
        </w:rPr>
        <w:t>144.</w:t>
      </w:r>
      <w:r w:rsidR="00246AC0" w:rsidRPr="00C75088">
        <w:rPr>
          <w:rFonts w:ascii="Times New Roman" w:hAnsi="Times New Roman"/>
          <w:sz w:val="22"/>
          <w:szCs w:val="28"/>
          <w:lang w:val="ru-RU"/>
        </w:rPr>
        <w:t xml:space="preserve"> </w:t>
      </w:r>
      <w:bookmarkStart w:id="8" w:name="_GoBack"/>
      <w:bookmarkEnd w:id="8"/>
      <w:r w:rsidR="000D4AB4" w:rsidRPr="0052001E">
        <w:rPr>
          <w:rFonts w:ascii="Times New Roman" w:hAnsi="Times New Roman"/>
          <w:sz w:val="22"/>
          <w:szCs w:val="28"/>
          <w:lang w:val="en-US"/>
        </w:rPr>
        <w:t>URL</w:t>
      </w:r>
      <w:r w:rsidR="000D4AB4" w:rsidRPr="00C75088">
        <w:rPr>
          <w:rFonts w:ascii="Times New Roman" w:hAnsi="Times New Roman"/>
          <w:sz w:val="22"/>
          <w:szCs w:val="28"/>
          <w:lang w:val="ru-RU"/>
        </w:rPr>
        <w:t xml:space="preserve">: </w:t>
      </w:r>
      <w:r w:rsidR="000D4AB4" w:rsidRPr="0052001E">
        <w:rPr>
          <w:rFonts w:ascii="Times New Roman" w:hAnsi="Times New Roman"/>
          <w:sz w:val="22"/>
          <w:szCs w:val="28"/>
          <w:lang w:val="en-US"/>
        </w:rPr>
        <w:t>http</w:t>
      </w:r>
      <w:r w:rsidR="000D4AB4" w:rsidRPr="00C75088">
        <w:rPr>
          <w:rFonts w:ascii="Times New Roman" w:hAnsi="Times New Roman"/>
          <w:sz w:val="22"/>
          <w:szCs w:val="28"/>
          <w:lang w:val="ru-RU"/>
        </w:rPr>
        <w:t>://</w:t>
      </w:r>
      <w:r w:rsidR="000D4AB4" w:rsidRPr="0052001E">
        <w:rPr>
          <w:rFonts w:ascii="Times New Roman" w:hAnsi="Times New Roman"/>
          <w:sz w:val="22"/>
          <w:szCs w:val="28"/>
          <w:lang w:val="en-US"/>
        </w:rPr>
        <w:t>www</w:t>
      </w:r>
      <w:r w:rsidR="000D4AB4" w:rsidRPr="00C75088">
        <w:rPr>
          <w:rFonts w:ascii="Times New Roman" w:hAnsi="Times New Roman"/>
          <w:sz w:val="22"/>
          <w:szCs w:val="28"/>
          <w:lang w:val="ru-RU"/>
        </w:rPr>
        <w:t>.</w:t>
      </w:r>
      <w:r w:rsidR="000D4AB4" w:rsidRPr="0052001E">
        <w:rPr>
          <w:rFonts w:ascii="Times New Roman" w:hAnsi="Times New Roman"/>
          <w:sz w:val="22"/>
          <w:szCs w:val="28"/>
          <w:lang w:val="en-US"/>
        </w:rPr>
        <w:t>cawater</w:t>
      </w:r>
      <w:r w:rsidR="000D4AB4" w:rsidRPr="00C75088">
        <w:rPr>
          <w:rFonts w:ascii="Times New Roman" w:hAnsi="Times New Roman"/>
          <w:sz w:val="22"/>
          <w:szCs w:val="28"/>
          <w:lang w:val="ru-RU"/>
        </w:rPr>
        <w:t>-</w:t>
      </w:r>
      <w:r w:rsidR="000D4AB4" w:rsidRPr="0052001E">
        <w:rPr>
          <w:rFonts w:ascii="Times New Roman" w:hAnsi="Times New Roman"/>
          <w:sz w:val="22"/>
          <w:szCs w:val="28"/>
          <w:lang w:val="en-US"/>
        </w:rPr>
        <w:t>info</w:t>
      </w:r>
      <w:r w:rsidR="000D4AB4" w:rsidRPr="00C75088">
        <w:rPr>
          <w:rFonts w:ascii="Times New Roman" w:hAnsi="Times New Roman"/>
          <w:sz w:val="22"/>
          <w:szCs w:val="28"/>
          <w:lang w:val="ru-RU"/>
        </w:rPr>
        <w:t>.</w:t>
      </w:r>
      <w:r w:rsidR="000D4AB4" w:rsidRPr="0052001E">
        <w:rPr>
          <w:rFonts w:ascii="Times New Roman" w:hAnsi="Times New Roman"/>
          <w:sz w:val="22"/>
          <w:szCs w:val="28"/>
          <w:lang w:val="en-US"/>
        </w:rPr>
        <w:t>net</w:t>
      </w:r>
      <w:r w:rsidR="000D4AB4" w:rsidRPr="00C75088">
        <w:rPr>
          <w:rFonts w:ascii="Times New Roman" w:hAnsi="Times New Roman"/>
          <w:sz w:val="22"/>
          <w:szCs w:val="28"/>
          <w:lang w:val="ru-RU"/>
        </w:rPr>
        <w:t>/</w:t>
      </w:r>
      <w:r w:rsidR="000D4AB4" w:rsidRPr="0052001E">
        <w:rPr>
          <w:rFonts w:ascii="Times New Roman" w:hAnsi="Times New Roman"/>
          <w:sz w:val="22"/>
          <w:szCs w:val="28"/>
          <w:lang w:val="en-US"/>
        </w:rPr>
        <w:t>ecoindicators</w:t>
      </w:r>
      <w:r w:rsidR="000D4AB4" w:rsidRPr="00C75088">
        <w:rPr>
          <w:rFonts w:ascii="Times New Roman" w:hAnsi="Times New Roman"/>
          <w:sz w:val="22"/>
          <w:szCs w:val="28"/>
          <w:lang w:val="ru-RU"/>
        </w:rPr>
        <w:t>/</w:t>
      </w:r>
      <w:r w:rsidR="000D4AB4" w:rsidRPr="0052001E">
        <w:rPr>
          <w:rFonts w:ascii="Times New Roman" w:hAnsi="Times New Roman"/>
          <w:sz w:val="22"/>
          <w:szCs w:val="28"/>
          <w:lang w:val="en-US"/>
        </w:rPr>
        <w:t>pdf</w:t>
      </w:r>
      <w:r w:rsidR="000D4AB4" w:rsidRPr="00C75088">
        <w:rPr>
          <w:rFonts w:ascii="Times New Roman" w:hAnsi="Times New Roman"/>
          <w:sz w:val="22"/>
          <w:szCs w:val="28"/>
          <w:lang w:val="ru-RU"/>
        </w:rPr>
        <w:t>/</w:t>
      </w:r>
      <w:r w:rsidR="000D4AB4" w:rsidRPr="0052001E">
        <w:rPr>
          <w:rFonts w:ascii="Times New Roman" w:hAnsi="Times New Roman"/>
          <w:sz w:val="22"/>
          <w:szCs w:val="28"/>
          <w:lang w:val="en-US"/>
        </w:rPr>
        <w:t>tarasova</w:t>
      </w:r>
      <w:r w:rsidR="000D4AB4" w:rsidRPr="00C75088">
        <w:rPr>
          <w:rFonts w:ascii="Times New Roman" w:hAnsi="Times New Roman"/>
          <w:sz w:val="22"/>
          <w:szCs w:val="28"/>
          <w:lang w:val="ru-RU"/>
        </w:rPr>
        <w:t>_</w:t>
      </w:r>
      <w:r w:rsidR="000D4AB4" w:rsidRPr="0052001E">
        <w:rPr>
          <w:rFonts w:ascii="Times New Roman" w:hAnsi="Times New Roman"/>
          <w:sz w:val="22"/>
          <w:szCs w:val="28"/>
          <w:lang w:val="en-US"/>
        </w:rPr>
        <w:t>kruchina</w:t>
      </w:r>
      <w:r w:rsidR="000D4AB4" w:rsidRPr="00C75088">
        <w:rPr>
          <w:rFonts w:ascii="Times New Roman" w:hAnsi="Times New Roman"/>
          <w:sz w:val="22"/>
          <w:szCs w:val="28"/>
          <w:lang w:val="ru-RU"/>
        </w:rPr>
        <w:t>.</w:t>
      </w:r>
      <w:r w:rsidR="000D4AB4" w:rsidRPr="0052001E">
        <w:rPr>
          <w:rFonts w:ascii="Times New Roman" w:hAnsi="Times New Roman"/>
          <w:sz w:val="22"/>
          <w:szCs w:val="28"/>
          <w:lang w:val="en-US"/>
        </w:rPr>
        <w:t>pdf</w:t>
      </w:r>
      <w:r w:rsidR="000D4AB4" w:rsidRPr="00C75088">
        <w:rPr>
          <w:rFonts w:ascii="Times New Roman" w:hAnsi="Times New Roman"/>
          <w:sz w:val="22"/>
          <w:szCs w:val="28"/>
          <w:lang w:val="ru-RU"/>
        </w:rPr>
        <w:t xml:space="preserve"> (</w:t>
      </w:r>
      <w:r w:rsidR="00904462" w:rsidRPr="00C75088">
        <w:rPr>
          <w:rFonts w:ascii="Times New Roman" w:hAnsi="Times New Roman"/>
          <w:sz w:val="22"/>
          <w:szCs w:val="28"/>
          <w:lang w:val="ru-RU"/>
        </w:rPr>
        <w:t>д</w:t>
      </w:r>
      <w:r w:rsidR="000D4AB4" w:rsidRPr="00C75088">
        <w:rPr>
          <w:rFonts w:ascii="Times New Roman" w:hAnsi="Times New Roman"/>
          <w:sz w:val="22"/>
          <w:szCs w:val="28"/>
          <w:lang w:val="ru-RU"/>
        </w:rPr>
        <w:t>ата обращения 30.08.2018).</w:t>
      </w:r>
      <w:bookmarkEnd w:id="7"/>
    </w:p>
    <w:p w:rsidR="00CA38C3" w:rsidRPr="0052001E" w:rsidRDefault="005B08BD" w:rsidP="0052001E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eastAsia="Times New Roman" w:hAnsi="Times New Roman"/>
          <w:sz w:val="22"/>
          <w:szCs w:val="28"/>
          <w:lang w:eastAsia="ru-RU"/>
        </w:rPr>
      </w:pPr>
      <w:bookmarkStart w:id="9" w:name="_Ref524696404"/>
      <w:r w:rsidRPr="00C75088">
        <w:rPr>
          <w:rFonts w:ascii="Times New Roman" w:eastAsia="Times New Roman" w:hAnsi="Times New Roman"/>
          <w:sz w:val="22"/>
          <w:szCs w:val="28"/>
          <w:lang w:val="ru-RU" w:eastAsia="ru-RU"/>
        </w:rPr>
        <w:t>Никонорова Е.В. Управление устойчивым развитием культурного капитала: интегративные показатели и роль библиотек // Безопасность Евразии</w:t>
      </w:r>
      <w:r w:rsidR="00904462" w:rsidRPr="00C75088">
        <w:rPr>
          <w:rFonts w:ascii="Times New Roman" w:eastAsia="Times New Roman" w:hAnsi="Times New Roman"/>
          <w:sz w:val="22"/>
          <w:szCs w:val="28"/>
          <w:lang w:val="ru-RU" w:eastAsia="ru-RU"/>
        </w:rPr>
        <w:t>,</w:t>
      </w:r>
      <w:r w:rsidRPr="00C75088">
        <w:rPr>
          <w:rFonts w:ascii="Times New Roman" w:eastAsia="Times New Roman" w:hAnsi="Times New Roman"/>
          <w:sz w:val="22"/>
          <w:szCs w:val="28"/>
          <w:lang w:val="ru-RU" w:eastAsia="ru-RU"/>
        </w:rPr>
        <w:t xml:space="preserve"> 2015. </w:t>
      </w:r>
      <w:r w:rsidRPr="0052001E">
        <w:rPr>
          <w:rFonts w:ascii="Times New Roman" w:eastAsia="Times New Roman" w:hAnsi="Times New Roman"/>
          <w:sz w:val="22"/>
          <w:szCs w:val="28"/>
          <w:lang w:eastAsia="ru-RU"/>
        </w:rPr>
        <w:t>№</w:t>
      </w:r>
      <w:r w:rsidR="00904462" w:rsidRPr="0052001E">
        <w:rPr>
          <w:rFonts w:ascii="Times New Roman" w:eastAsia="Times New Roman" w:hAnsi="Times New Roman"/>
          <w:sz w:val="22"/>
          <w:szCs w:val="28"/>
          <w:lang w:eastAsia="ru-RU"/>
        </w:rPr>
        <w:t xml:space="preserve"> </w:t>
      </w:r>
      <w:r w:rsidRPr="0052001E">
        <w:rPr>
          <w:rFonts w:ascii="Times New Roman" w:eastAsia="Times New Roman" w:hAnsi="Times New Roman"/>
          <w:sz w:val="22"/>
          <w:szCs w:val="28"/>
          <w:lang w:eastAsia="ru-RU"/>
        </w:rPr>
        <w:t xml:space="preserve">1. </w:t>
      </w:r>
      <w:r w:rsidR="00904462" w:rsidRPr="0052001E">
        <w:rPr>
          <w:rFonts w:ascii="Times New Roman" w:eastAsia="Times New Roman" w:hAnsi="Times New Roman"/>
          <w:sz w:val="22"/>
          <w:szCs w:val="28"/>
          <w:lang w:eastAsia="ru-RU"/>
        </w:rPr>
        <w:t xml:space="preserve">– </w:t>
      </w:r>
      <w:r w:rsidRPr="0052001E">
        <w:rPr>
          <w:rFonts w:ascii="Times New Roman" w:eastAsia="Times New Roman" w:hAnsi="Times New Roman"/>
          <w:sz w:val="22"/>
          <w:szCs w:val="28"/>
          <w:lang w:eastAsia="ru-RU"/>
        </w:rPr>
        <w:t>С.</w:t>
      </w:r>
      <w:r w:rsidR="00904462" w:rsidRPr="0052001E">
        <w:rPr>
          <w:rFonts w:ascii="Times New Roman" w:eastAsia="Times New Roman" w:hAnsi="Times New Roman"/>
          <w:sz w:val="22"/>
          <w:szCs w:val="28"/>
          <w:lang w:eastAsia="ru-RU"/>
        </w:rPr>
        <w:t xml:space="preserve"> </w:t>
      </w:r>
      <w:r w:rsidRPr="0052001E">
        <w:rPr>
          <w:rFonts w:ascii="Times New Roman" w:eastAsia="Times New Roman" w:hAnsi="Times New Roman"/>
          <w:sz w:val="22"/>
          <w:szCs w:val="28"/>
          <w:lang w:eastAsia="ru-RU"/>
        </w:rPr>
        <w:t>20</w:t>
      </w:r>
      <w:r w:rsidR="00EF4EB6" w:rsidRPr="0052001E">
        <w:rPr>
          <w:rFonts w:ascii="Times New Roman" w:eastAsia="Times New Roman" w:hAnsi="Times New Roman"/>
          <w:sz w:val="22"/>
          <w:szCs w:val="28"/>
          <w:lang w:eastAsia="ru-RU"/>
        </w:rPr>
        <w:t>5</w:t>
      </w:r>
      <w:r w:rsidR="00904462" w:rsidRPr="0052001E">
        <w:rPr>
          <w:rFonts w:ascii="Times New Roman" w:eastAsia="Times New Roman" w:hAnsi="Times New Roman"/>
          <w:sz w:val="22"/>
          <w:szCs w:val="28"/>
          <w:lang w:eastAsia="ru-RU"/>
        </w:rPr>
        <w:t>-</w:t>
      </w:r>
      <w:r w:rsidR="00EF4EB6" w:rsidRPr="0052001E">
        <w:rPr>
          <w:rFonts w:ascii="Times New Roman" w:eastAsia="Times New Roman" w:hAnsi="Times New Roman"/>
          <w:sz w:val="22"/>
          <w:szCs w:val="28"/>
          <w:lang w:eastAsia="ru-RU"/>
        </w:rPr>
        <w:t>2</w:t>
      </w:r>
      <w:r w:rsidRPr="0052001E">
        <w:rPr>
          <w:rFonts w:ascii="Times New Roman" w:eastAsia="Times New Roman" w:hAnsi="Times New Roman"/>
          <w:sz w:val="22"/>
          <w:szCs w:val="28"/>
          <w:lang w:eastAsia="ru-RU"/>
        </w:rPr>
        <w:t>23.</w:t>
      </w:r>
      <w:bookmarkEnd w:id="9"/>
      <w:r w:rsidRPr="0052001E">
        <w:rPr>
          <w:rFonts w:ascii="Times New Roman" w:eastAsia="Times New Roman" w:hAnsi="Times New Roman"/>
          <w:sz w:val="22"/>
          <w:szCs w:val="28"/>
          <w:lang w:eastAsia="ru-RU"/>
        </w:rPr>
        <w:t xml:space="preserve"> </w:t>
      </w:r>
    </w:p>
    <w:p w:rsidR="00CA38C3" w:rsidRPr="0052001E" w:rsidRDefault="005B08BD" w:rsidP="0052001E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eastAsia="Times New Roman" w:hAnsi="Times New Roman"/>
          <w:sz w:val="22"/>
          <w:szCs w:val="28"/>
          <w:lang w:eastAsia="ru-RU"/>
        </w:rPr>
      </w:pPr>
      <w:r w:rsidRPr="00C75088">
        <w:rPr>
          <w:rFonts w:ascii="Times New Roman" w:eastAsia="Times New Roman" w:hAnsi="Times New Roman"/>
          <w:sz w:val="22"/>
          <w:szCs w:val="28"/>
          <w:lang w:val="ru-RU" w:eastAsia="ru-RU"/>
        </w:rPr>
        <w:t>Никонорова Е.В. Культурный и природный капитал: устойчивость развития и возможности управления // Обсерватория культуры</w:t>
      </w:r>
      <w:r w:rsidR="00904462" w:rsidRPr="00C75088">
        <w:rPr>
          <w:rFonts w:ascii="Times New Roman" w:eastAsia="Times New Roman" w:hAnsi="Times New Roman"/>
          <w:sz w:val="22"/>
          <w:szCs w:val="28"/>
          <w:lang w:val="ru-RU" w:eastAsia="ru-RU"/>
        </w:rPr>
        <w:t>,</w:t>
      </w:r>
      <w:r w:rsidRPr="00C75088">
        <w:rPr>
          <w:rFonts w:ascii="Times New Roman" w:eastAsia="Times New Roman" w:hAnsi="Times New Roman"/>
          <w:sz w:val="22"/>
          <w:szCs w:val="28"/>
          <w:lang w:val="ru-RU" w:eastAsia="ru-RU"/>
        </w:rPr>
        <w:t xml:space="preserve"> 2016. </w:t>
      </w:r>
      <w:r w:rsidRPr="0052001E">
        <w:rPr>
          <w:rFonts w:ascii="Times New Roman" w:eastAsia="Times New Roman" w:hAnsi="Times New Roman"/>
          <w:sz w:val="22"/>
          <w:szCs w:val="28"/>
          <w:lang w:eastAsia="ru-RU"/>
        </w:rPr>
        <w:t>Т.</w:t>
      </w:r>
      <w:r w:rsidR="00904462" w:rsidRPr="0052001E">
        <w:rPr>
          <w:rFonts w:ascii="Times New Roman" w:eastAsia="Times New Roman" w:hAnsi="Times New Roman"/>
          <w:sz w:val="22"/>
          <w:szCs w:val="28"/>
          <w:lang w:eastAsia="ru-RU"/>
        </w:rPr>
        <w:t xml:space="preserve"> </w:t>
      </w:r>
      <w:r w:rsidRPr="0052001E">
        <w:rPr>
          <w:rFonts w:ascii="Times New Roman" w:eastAsia="Times New Roman" w:hAnsi="Times New Roman"/>
          <w:sz w:val="22"/>
          <w:szCs w:val="28"/>
          <w:lang w:eastAsia="ru-RU"/>
        </w:rPr>
        <w:t>13, №</w:t>
      </w:r>
      <w:r w:rsidR="00904462" w:rsidRPr="0052001E">
        <w:rPr>
          <w:rFonts w:ascii="Times New Roman" w:eastAsia="Times New Roman" w:hAnsi="Times New Roman"/>
          <w:sz w:val="22"/>
          <w:szCs w:val="28"/>
          <w:lang w:eastAsia="ru-RU"/>
        </w:rPr>
        <w:t xml:space="preserve"> </w:t>
      </w:r>
      <w:r w:rsidRPr="0052001E">
        <w:rPr>
          <w:rFonts w:ascii="Times New Roman" w:eastAsia="Times New Roman" w:hAnsi="Times New Roman"/>
          <w:sz w:val="22"/>
          <w:szCs w:val="28"/>
          <w:lang w:eastAsia="ru-RU"/>
        </w:rPr>
        <w:t>5.</w:t>
      </w:r>
      <w:r w:rsidR="00904462" w:rsidRPr="0052001E">
        <w:rPr>
          <w:rFonts w:ascii="Times New Roman" w:eastAsia="Times New Roman" w:hAnsi="Times New Roman"/>
          <w:sz w:val="22"/>
          <w:szCs w:val="28"/>
          <w:lang w:eastAsia="ru-RU"/>
        </w:rPr>
        <w:t xml:space="preserve"> –</w:t>
      </w:r>
      <w:r w:rsidRPr="0052001E">
        <w:rPr>
          <w:rFonts w:ascii="Times New Roman" w:eastAsia="Times New Roman" w:hAnsi="Times New Roman"/>
          <w:sz w:val="22"/>
          <w:szCs w:val="28"/>
          <w:lang w:eastAsia="ru-RU"/>
        </w:rPr>
        <w:t xml:space="preserve"> С.</w:t>
      </w:r>
      <w:r w:rsidR="00904462" w:rsidRPr="0052001E">
        <w:rPr>
          <w:rFonts w:ascii="Times New Roman" w:eastAsia="Times New Roman" w:hAnsi="Times New Roman"/>
          <w:sz w:val="22"/>
          <w:szCs w:val="28"/>
          <w:lang w:eastAsia="ru-RU"/>
        </w:rPr>
        <w:t xml:space="preserve"> </w:t>
      </w:r>
      <w:r w:rsidRPr="0052001E">
        <w:rPr>
          <w:rFonts w:ascii="Times New Roman" w:eastAsia="Times New Roman" w:hAnsi="Times New Roman"/>
          <w:sz w:val="22"/>
          <w:szCs w:val="28"/>
          <w:lang w:eastAsia="ru-RU"/>
        </w:rPr>
        <w:t>60</w:t>
      </w:r>
      <w:r w:rsidR="00EF4EB6" w:rsidRPr="0052001E">
        <w:rPr>
          <w:rFonts w:ascii="Times New Roman" w:eastAsia="Times New Roman" w:hAnsi="Times New Roman"/>
          <w:sz w:val="22"/>
          <w:szCs w:val="28"/>
          <w:lang w:eastAsia="ru-RU"/>
        </w:rPr>
        <w:t>0</w:t>
      </w:r>
      <w:r w:rsidR="00904462" w:rsidRPr="0052001E">
        <w:rPr>
          <w:rFonts w:ascii="Times New Roman" w:eastAsia="Times New Roman" w:hAnsi="Times New Roman"/>
          <w:sz w:val="22"/>
          <w:szCs w:val="28"/>
          <w:lang w:eastAsia="ru-RU"/>
        </w:rPr>
        <w:t>-</w:t>
      </w:r>
      <w:r w:rsidR="00EF4EB6" w:rsidRPr="0052001E">
        <w:rPr>
          <w:rFonts w:ascii="Times New Roman" w:eastAsia="Times New Roman" w:hAnsi="Times New Roman"/>
          <w:sz w:val="22"/>
          <w:szCs w:val="28"/>
          <w:lang w:eastAsia="ru-RU"/>
        </w:rPr>
        <w:t>6</w:t>
      </w:r>
      <w:r w:rsidRPr="0052001E">
        <w:rPr>
          <w:rFonts w:ascii="Times New Roman" w:eastAsia="Times New Roman" w:hAnsi="Times New Roman"/>
          <w:sz w:val="22"/>
          <w:szCs w:val="28"/>
          <w:lang w:eastAsia="ru-RU"/>
        </w:rPr>
        <w:t xml:space="preserve">05. </w:t>
      </w:r>
      <w:r w:rsidR="000D4AB4" w:rsidRPr="0052001E">
        <w:rPr>
          <w:rFonts w:ascii="Times New Roman" w:eastAsia="Times New Roman" w:hAnsi="Times New Roman"/>
          <w:sz w:val="22"/>
          <w:szCs w:val="28"/>
          <w:lang w:val="en-US" w:eastAsia="ru-RU"/>
        </w:rPr>
        <w:t>DOI</w:t>
      </w:r>
      <w:r w:rsidR="000D4AB4" w:rsidRPr="0052001E">
        <w:rPr>
          <w:rFonts w:ascii="Times New Roman" w:eastAsia="Times New Roman" w:hAnsi="Times New Roman"/>
          <w:sz w:val="22"/>
          <w:szCs w:val="28"/>
          <w:lang w:val="ru-RU" w:eastAsia="ru-RU"/>
        </w:rPr>
        <w:t>: 10.25281/2072-3156-2016-13-5-600-605.</w:t>
      </w:r>
    </w:p>
    <w:p w:rsidR="00CA38C3" w:rsidRPr="00C75088" w:rsidRDefault="005B08BD" w:rsidP="0052001E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eastAsia="Times New Roman" w:hAnsi="Times New Roman"/>
          <w:sz w:val="22"/>
          <w:szCs w:val="28"/>
          <w:lang w:val="ru-RU" w:eastAsia="ru-RU"/>
        </w:rPr>
      </w:pPr>
      <w:r w:rsidRPr="00C75088">
        <w:rPr>
          <w:rFonts w:ascii="Times New Roman" w:eastAsia="Times New Roman" w:hAnsi="Times New Roman"/>
          <w:sz w:val="22"/>
          <w:szCs w:val="28"/>
          <w:lang w:val="ru-RU" w:eastAsia="ru-RU"/>
        </w:rPr>
        <w:t>Никонорова Е.В. Культура и устойчивое развитие: основания взаимовлияния и контуры интеграции</w:t>
      </w:r>
      <w:r w:rsidR="00C75088">
        <w:rPr>
          <w:rFonts w:ascii="Times New Roman" w:eastAsia="Times New Roman" w:hAnsi="Times New Roman"/>
          <w:sz w:val="22"/>
          <w:szCs w:val="28"/>
          <w:lang w:val="ru-RU" w:eastAsia="ru-RU"/>
        </w:rPr>
        <w:t xml:space="preserve"> // Обсерватория культуры</w:t>
      </w:r>
      <w:r w:rsidR="00904462" w:rsidRPr="00C75088">
        <w:rPr>
          <w:rFonts w:ascii="Times New Roman" w:eastAsia="Times New Roman" w:hAnsi="Times New Roman"/>
          <w:sz w:val="22"/>
          <w:szCs w:val="28"/>
          <w:lang w:val="ru-RU" w:eastAsia="ru-RU"/>
        </w:rPr>
        <w:t>,</w:t>
      </w:r>
      <w:r w:rsidRPr="00C75088">
        <w:rPr>
          <w:rFonts w:ascii="Times New Roman" w:eastAsia="Times New Roman" w:hAnsi="Times New Roman"/>
          <w:sz w:val="22"/>
          <w:szCs w:val="28"/>
          <w:lang w:val="ru-RU" w:eastAsia="ru-RU"/>
        </w:rPr>
        <w:t xml:space="preserve"> 2016. Т.</w:t>
      </w:r>
      <w:r w:rsidR="00904462" w:rsidRPr="00C75088">
        <w:rPr>
          <w:rFonts w:ascii="Times New Roman" w:eastAsia="Times New Roman" w:hAnsi="Times New Roman"/>
          <w:sz w:val="22"/>
          <w:szCs w:val="28"/>
          <w:lang w:val="ru-RU" w:eastAsia="ru-RU"/>
        </w:rPr>
        <w:t xml:space="preserve"> </w:t>
      </w:r>
      <w:r w:rsidRPr="00C75088">
        <w:rPr>
          <w:rFonts w:ascii="Times New Roman" w:eastAsia="Times New Roman" w:hAnsi="Times New Roman"/>
          <w:sz w:val="22"/>
          <w:szCs w:val="28"/>
          <w:lang w:val="ru-RU" w:eastAsia="ru-RU"/>
        </w:rPr>
        <w:t>13. №</w:t>
      </w:r>
      <w:r w:rsidR="00904462" w:rsidRPr="00C75088">
        <w:rPr>
          <w:rFonts w:ascii="Times New Roman" w:eastAsia="Times New Roman" w:hAnsi="Times New Roman"/>
          <w:sz w:val="22"/>
          <w:szCs w:val="28"/>
          <w:lang w:val="ru-RU" w:eastAsia="ru-RU"/>
        </w:rPr>
        <w:t xml:space="preserve"> </w:t>
      </w:r>
      <w:r w:rsidRPr="00C75088">
        <w:rPr>
          <w:rFonts w:ascii="Times New Roman" w:eastAsia="Times New Roman" w:hAnsi="Times New Roman"/>
          <w:sz w:val="22"/>
          <w:szCs w:val="28"/>
          <w:lang w:val="ru-RU" w:eastAsia="ru-RU"/>
        </w:rPr>
        <w:t xml:space="preserve">6. </w:t>
      </w:r>
      <w:r w:rsidR="00904462" w:rsidRPr="00C75088">
        <w:rPr>
          <w:rFonts w:ascii="Times New Roman" w:eastAsia="Times New Roman" w:hAnsi="Times New Roman"/>
          <w:sz w:val="22"/>
          <w:szCs w:val="28"/>
          <w:lang w:val="ru-RU" w:eastAsia="ru-RU"/>
        </w:rPr>
        <w:t xml:space="preserve">– </w:t>
      </w:r>
      <w:r w:rsidRPr="00C75088">
        <w:rPr>
          <w:rFonts w:ascii="Times New Roman" w:eastAsia="Times New Roman" w:hAnsi="Times New Roman"/>
          <w:sz w:val="22"/>
          <w:szCs w:val="28"/>
          <w:lang w:val="ru-RU" w:eastAsia="ru-RU"/>
        </w:rPr>
        <w:t>С.</w:t>
      </w:r>
      <w:r w:rsidR="00904462" w:rsidRPr="00C75088">
        <w:rPr>
          <w:rFonts w:ascii="Times New Roman" w:eastAsia="Times New Roman" w:hAnsi="Times New Roman"/>
          <w:sz w:val="22"/>
          <w:szCs w:val="28"/>
          <w:lang w:val="ru-RU" w:eastAsia="ru-RU"/>
        </w:rPr>
        <w:t xml:space="preserve"> </w:t>
      </w:r>
      <w:r w:rsidRPr="00C75088">
        <w:rPr>
          <w:rFonts w:ascii="Times New Roman" w:eastAsia="Times New Roman" w:hAnsi="Times New Roman"/>
          <w:sz w:val="22"/>
          <w:szCs w:val="28"/>
          <w:lang w:val="ru-RU" w:eastAsia="ru-RU"/>
        </w:rPr>
        <w:t>64</w:t>
      </w:r>
      <w:r w:rsidR="00EF4EB6" w:rsidRPr="00C75088">
        <w:rPr>
          <w:rFonts w:ascii="Times New Roman" w:eastAsia="Times New Roman" w:hAnsi="Times New Roman"/>
          <w:sz w:val="22"/>
          <w:szCs w:val="28"/>
          <w:lang w:val="ru-RU" w:eastAsia="ru-RU"/>
        </w:rPr>
        <w:t>4</w:t>
      </w:r>
      <w:r w:rsidR="00904462" w:rsidRPr="00C75088">
        <w:rPr>
          <w:rFonts w:ascii="Times New Roman" w:eastAsia="Times New Roman" w:hAnsi="Times New Roman"/>
          <w:sz w:val="22"/>
          <w:szCs w:val="28"/>
          <w:lang w:val="ru-RU" w:eastAsia="ru-RU"/>
        </w:rPr>
        <w:t>-</w:t>
      </w:r>
      <w:r w:rsidR="00EF4EB6" w:rsidRPr="00C75088">
        <w:rPr>
          <w:rFonts w:ascii="Times New Roman" w:eastAsia="Times New Roman" w:hAnsi="Times New Roman"/>
          <w:sz w:val="22"/>
          <w:szCs w:val="28"/>
          <w:lang w:val="ru-RU" w:eastAsia="ru-RU"/>
        </w:rPr>
        <w:t>6</w:t>
      </w:r>
      <w:r w:rsidRPr="00C75088">
        <w:rPr>
          <w:rFonts w:ascii="Times New Roman" w:eastAsia="Times New Roman" w:hAnsi="Times New Roman"/>
          <w:sz w:val="22"/>
          <w:szCs w:val="28"/>
          <w:lang w:val="ru-RU" w:eastAsia="ru-RU"/>
        </w:rPr>
        <w:t>51.</w:t>
      </w:r>
      <w:r w:rsidR="000D4AB4" w:rsidRPr="00C75088">
        <w:rPr>
          <w:rFonts w:ascii="Times New Roman" w:eastAsia="Times New Roman" w:hAnsi="Times New Roman"/>
          <w:sz w:val="22"/>
          <w:szCs w:val="28"/>
          <w:lang w:val="ru-RU" w:eastAsia="ru-RU"/>
        </w:rPr>
        <w:t xml:space="preserve"> </w:t>
      </w:r>
      <w:r w:rsidR="000D4AB4" w:rsidRPr="0052001E">
        <w:rPr>
          <w:rFonts w:ascii="Times New Roman" w:eastAsia="Times New Roman" w:hAnsi="Times New Roman"/>
          <w:sz w:val="22"/>
          <w:szCs w:val="28"/>
          <w:lang w:eastAsia="ru-RU"/>
        </w:rPr>
        <w:t>DOI</w:t>
      </w:r>
      <w:r w:rsidR="000D4AB4" w:rsidRPr="00C75088">
        <w:rPr>
          <w:rFonts w:ascii="Times New Roman" w:eastAsia="Times New Roman" w:hAnsi="Times New Roman"/>
          <w:sz w:val="22"/>
          <w:szCs w:val="28"/>
          <w:lang w:val="ru-RU" w:eastAsia="ru-RU"/>
        </w:rPr>
        <w:t>:</w:t>
      </w:r>
      <w:r w:rsidRPr="00C75088">
        <w:rPr>
          <w:rFonts w:ascii="Times New Roman" w:eastAsia="Times New Roman" w:hAnsi="Times New Roman"/>
          <w:sz w:val="22"/>
          <w:szCs w:val="28"/>
          <w:lang w:val="ru-RU" w:eastAsia="ru-RU"/>
        </w:rPr>
        <w:t xml:space="preserve"> </w:t>
      </w:r>
      <w:r w:rsidR="000D4AB4" w:rsidRPr="00C75088">
        <w:rPr>
          <w:rFonts w:ascii="Times New Roman" w:eastAsia="Times New Roman" w:hAnsi="Times New Roman"/>
          <w:sz w:val="22"/>
          <w:szCs w:val="28"/>
          <w:lang w:val="ru-RU" w:eastAsia="ru-RU"/>
        </w:rPr>
        <w:t>10.25281/2072-3156-2016-13-6-644-651</w:t>
      </w:r>
      <w:r w:rsidR="000D4AB4" w:rsidRPr="0052001E">
        <w:rPr>
          <w:rFonts w:ascii="Times New Roman" w:eastAsia="Times New Roman" w:hAnsi="Times New Roman"/>
          <w:sz w:val="22"/>
          <w:szCs w:val="28"/>
          <w:lang w:val="ru-RU" w:eastAsia="ru-RU"/>
        </w:rPr>
        <w:t>.</w:t>
      </w:r>
    </w:p>
    <w:p w:rsidR="005B08BD" w:rsidRPr="0052001E" w:rsidRDefault="005B08BD" w:rsidP="0052001E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eastAsia="Times New Roman" w:hAnsi="Times New Roman"/>
          <w:sz w:val="22"/>
          <w:szCs w:val="28"/>
          <w:lang w:eastAsia="ru-RU"/>
        </w:rPr>
      </w:pPr>
      <w:r w:rsidRPr="00C75088">
        <w:rPr>
          <w:rFonts w:ascii="Times New Roman" w:eastAsia="Times New Roman" w:hAnsi="Times New Roman"/>
          <w:sz w:val="22"/>
          <w:szCs w:val="28"/>
          <w:lang w:val="ru-RU" w:eastAsia="ru-RU"/>
        </w:rPr>
        <w:t>Никонорова Е.В. Культура и устойчивое развитие культурного и человеческого капитала: роль библиотек и ее оценка // Библиотековедение</w:t>
      </w:r>
      <w:r w:rsidR="00904462" w:rsidRPr="00C75088">
        <w:rPr>
          <w:rFonts w:ascii="Times New Roman" w:eastAsia="Times New Roman" w:hAnsi="Times New Roman"/>
          <w:sz w:val="22"/>
          <w:szCs w:val="28"/>
          <w:lang w:val="ru-RU" w:eastAsia="ru-RU"/>
        </w:rPr>
        <w:t>,</w:t>
      </w:r>
      <w:r w:rsidRPr="00C75088">
        <w:rPr>
          <w:rFonts w:ascii="Times New Roman" w:eastAsia="Times New Roman" w:hAnsi="Times New Roman"/>
          <w:sz w:val="22"/>
          <w:szCs w:val="28"/>
          <w:lang w:val="ru-RU" w:eastAsia="ru-RU"/>
        </w:rPr>
        <w:t xml:space="preserve"> 2017.</w:t>
      </w:r>
      <w:r w:rsidR="000D4AB4" w:rsidRPr="00C75088">
        <w:rPr>
          <w:rFonts w:ascii="Times New Roman" w:eastAsia="Times New Roman" w:hAnsi="Times New Roman"/>
          <w:sz w:val="22"/>
          <w:szCs w:val="28"/>
          <w:lang w:val="ru-RU" w:eastAsia="ru-RU"/>
        </w:rPr>
        <w:t xml:space="preserve"> </w:t>
      </w:r>
      <w:r w:rsidRPr="0052001E">
        <w:rPr>
          <w:rFonts w:ascii="Times New Roman" w:eastAsia="Times New Roman" w:hAnsi="Times New Roman"/>
          <w:sz w:val="22"/>
          <w:szCs w:val="28"/>
          <w:lang w:eastAsia="ru-RU"/>
        </w:rPr>
        <w:t>Т.</w:t>
      </w:r>
      <w:r w:rsidR="00904462" w:rsidRPr="0052001E">
        <w:rPr>
          <w:rFonts w:ascii="Times New Roman" w:eastAsia="Times New Roman" w:hAnsi="Times New Roman"/>
          <w:sz w:val="22"/>
          <w:szCs w:val="28"/>
          <w:lang w:eastAsia="ru-RU"/>
        </w:rPr>
        <w:t xml:space="preserve"> </w:t>
      </w:r>
      <w:r w:rsidRPr="0052001E">
        <w:rPr>
          <w:rFonts w:ascii="Times New Roman" w:eastAsia="Times New Roman" w:hAnsi="Times New Roman"/>
          <w:sz w:val="22"/>
          <w:szCs w:val="28"/>
          <w:lang w:eastAsia="ru-RU"/>
        </w:rPr>
        <w:t>66. №</w:t>
      </w:r>
      <w:r w:rsidR="00904462" w:rsidRPr="0052001E">
        <w:rPr>
          <w:rFonts w:ascii="Times New Roman" w:eastAsia="Times New Roman" w:hAnsi="Times New Roman"/>
          <w:sz w:val="22"/>
          <w:szCs w:val="28"/>
          <w:lang w:eastAsia="ru-RU"/>
        </w:rPr>
        <w:t xml:space="preserve"> </w:t>
      </w:r>
      <w:r w:rsidRPr="0052001E">
        <w:rPr>
          <w:rFonts w:ascii="Times New Roman" w:eastAsia="Times New Roman" w:hAnsi="Times New Roman"/>
          <w:sz w:val="22"/>
          <w:szCs w:val="28"/>
          <w:lang w:eastAsia="ru-RU"/>
        </w:rPr>
        <w:t>1.</w:t>
      </w:r>
      <w:r w:rsidR="00904462" w:rsidRPr="0052001E">
        <w:rPr>
          <w:rFonts w:ascii="Times New Roman" w:eastAsia="Times New Roman" w:hAnsi="Times New Roman"/>
          <w:sz w:val="22"/>
          <w:szCs w:val="28"/>
          <w:lang w:eastAsia="ru-RU"/>
        </w:rPr>
        <w:t xml:space="preserve"> –</w:t>
      </w:r>
      <w:r w:rsidRPr="0052001E">
        <w:rPr>
          <w:rFonts w:ascii="Times New Roman" w:eastAsia="Times New Roman" w:hAnsi="Times New Roman"/>
          <w:sz w:val="22"/>
          <w:szCs w:val="28"/>
          <w:lang w:eastAsia="ru-RU"/>
        </w:rPr>
        <w:t xml:space="preserve"> С. 1</w:t>
      </w:r>
      <w:r w:rsidR="00EF4EB6" w:rsidRPr="0052001E">
        <w:rPr>
          <w:rFonts w:ascii="Times New Roman" w:eastAsia="Times New Roman" w:hAnsi="Times New Roman"/>
          <w:sz w:val="22"/>
          <w:szCs w:val="28"/>
          <w:lang w:eastAsia="ru-RU"/>
        </w:rPr>
        <w:t>9</w:t>
      </w:r>
      <w:r w:rsidR="00904462" w:rsidRPr="0052001E">
        <w:rPr>
          <w:rFonts w:ascii="Times New Roman" w:eastAsia="Times New Roman" w:hAnsi="Times New Roman"/>
          <w:sz w:val="22"/>
          <w:szCs w:val="28"/>
          <w:lang w:eastAsia="ru-RU"/>
        </w:rPr>
        <w:t>-</w:t>
      </w:r>
      <w:r w:rsidR="00EF4EB6" w:rsidRPr="0052001E">
        <w:rPr>
          <w:rFonts w:ascii="Times New Roman" w:eastAsia="Times New Roman" w:hAnsi="Times New Roman"/>
          <w:sz w:val="22"/>
          <w:szCs w:val="28"/>
          <w:lang w:eastAsia="ru-RU"/>
        </w:rPr>
        <w:t>2</w:t>
      </w:r>
      <w:r w:rsidRPr="0052001E">
        <w:rPr>
          <w:rFonts w:ascii="Times New Roman" w:eastAsia="Times New Roman" w:hAnsi="Times New Roman"/>
          <w:sz w:val="22"/>
          <w:szCs w:val="28"/>
          <w:lang w:eastAsia="ru-RU"/>
        </w:rPr>
        <w:t>8.</w:t>
      </w:r>
      <w:r w:rsidR="000D4AB4" w:rsidRPr="0052001E">
        <w:rPr>
          <w:rFonts w:ascii="Times New Roman" w:eastAsia="Times New Roman" w:hAnsi="Times New Roman"/>
          <w:sz w:val="22"/>
          <w:szCs w:val="28"/>
          <w:lang w:val="ru-RU" w:eastAsia="ru-RU"/>
        </w:rPr>
        <w:t xml:space="preserve"> </w:t>
      </w:r>
      <w:r w:rsidR="000D4AB4" w:rsidRPr="0052001E">
        <w:rPr>
          <w:rFonts w:ascii="Times New Roman" w:eastAsia="Times New Roman" w:hAnsi="Times New Roman"/>
          <w:sz w:val="22"/>
          <w:szCs w:val="28"/>
          <w:lang w:eastAsia="ru-RU"/>
        </w:rPr>
        <w:t>DOI:</w:t>
      </w:r>
      <w:r w:rsidR="00904462" w:rsidRPr="0052001E">
        <w:rPr>
          <w:rFonts w:ascii="Times New Roman" w:hAnsi="Times New Roman"/>
          <w:sz w:val="22"/>
        </w:rPr>
        <w:t xml:space="preserve"> </w:t>
      </w:r>
      <w:r w:rsidR="000D4AB4" w:rsidRPr="0052001E">
        <w:rPr>
          <w:rFonts w:ascii="Times New Roman" w:eastAsia="Times New Roman" w:hAnsi="Times New Roman"/>
          <w:sz w:val="22"/>
          <w:szCs w:val="28"/>
          <w:lang w:eastAsia="ru-RU"/>
        </w:rPr>
        <w:t>10.25281/0869-608X-2017-66-1-19-28.</w:t>
      </w:r>
    </w:p>
    <w:p w:rsidR="00CA38C3" w:rsidRPr="0052001E" w:rsidRDefault="005B08BD" w:rsidP="0052001E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2"/>
          <w:szCs w:val="28"/>
        </w:rPr>
      </w:pPr>
      <w:bookmarkStart w:id="10" w:name="_Ref524696451"/>
      <w:r w:rsidRPr="00C75088">
        <w:rPr>
          <w:rFonts w:ascii="Times New Roman" w:hAnsi="Times New Roman"/>
          <w:sz w:val="22"/>
          <w:szCs w:val="28"/>
          <w:lang w:val="ru-RU"/>
        </w:rPr>
        <w:t>Никонорова Е.В. Постнеклассические практики в современных библиотечных исследованиях // Библиотековедение</w:t>
      </w:r>
      <w:r w:rsidR="00904462" w:rsidRPr="00C75088">
        <w:rPr>
          <w:rFonts w:ascii="Times New Roman" w:hAnsi="Times New Roman"/>
          <w:sz w:val="22"/>
          <w:szCs w:val="28"/>
          <w:lang w:val="ru-RU"/>
        </w:rPr>
        <w:t xml:space="preserve">, </w:t>
      </w:r>
      <w:r w:rsidRPr="00C75088">
        <w:rPr>
          <w:rFonts w:ascii="Times New Roman" w:hAnsi="Times New Roman"/>
          <w:sz w:val="22"/>
          <w:szCs w:val="28"/>
          <w:lang w:val="ru-RU"/>
        </w:rPr>
        <w:t xml:space="preserve">2011. </w:t>
      </w:r>
      <w:r w:rsidRPr="0052001E">
        <w:rPr>
          <w:rFonts w:ascii="Times New Roman" w:hAnsi="Times New Roman"/>
          <w:sz w:val="22"/>
          <w:szCs w:val="28"/>
        </w:rPr>
        <w:t>№ 5.</w:t>
      </w:r>
      <w:r w:rsidR="00904462" w:rsidRPr="0052001E">
        <w:rPr>
          <w:rFonts w:ascii="Times New Roman" w:hAnsi="Times New Roman"/>
          <w:sz w:val="22"/>
          <w:szCs w:val="28"/>
        </w:rPr>
        <w:t xml:space="preserve"> –</w:t>
      </w:r>
      <w:r w:rsidRPr="0052001E">
        <w:rPr>
          <w:rFonts w:ascii="Times New Roman" w:hAnsi="Times New Roman"/>
          <w:sz w:val="22"/>
          <w:szCs w:val="28"/>
        </w:rPr>
        <w:t xml:space="preserve"> С. 24</w:t>
      </w:r>
      <w:r w:rsidR="00904462" w:rsidRPr="0052001E">
        <w:rPr>
          <w:rFonts w:ascii="Times New Roman" w:hAnsi="Times New Roman"/>
          <w:sz w:val="22"/>
          <w:szCs w:val="28"/>
        </w:rPr>
        <w:t>-</w:t>
      </w:r>
      <w:r w:rsidRPr="0052001E">
        <w:rPr>
          <w:rFonts w:ascii="Times New Roman" w:hAnsi="Times New Roman"/>
          <w:sz w:val="22"/>
          <w:szCs w:val="28"/>
        </w:rPr>
        <w:t>28.</w:t>
      </w:r>
      <w:bookmarkEnd w:id="10"/>
      <w:r w:rsidRPr="0052001E">
        <w:rPr>
          <w:rFonts w:ascii="Times New Roman" w:hAnsi="Times New Roman"/>
          <w:sz w:val="22"/>
          <w:szCs w:val="28"/>
        </w:rPr>
        <w:t xml:space="preserve"> </w:t>
      </w:r>
    </w:p>
    <w:p w:rsidR="005B08BD" w:rsidRPr="0052001E" w:rsidRDefault="00CA38C3" w:rsidP="0052001E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2"/>
          <w:szCs w:val="24"/>
          <w:lang w:val="ru-RU"/>
        </w:rPr>
      </w:pPr>
      <w:bookmarkStart w:id="11" w:name="_Ref524696453"/>
      <w:r w:rsidRPr="00C75088">
        <w:rPr>
          <w:rFonts w:ascii="Times New Roman" w:hAnsi="Times New Roman"/>
          <w:sz w:val="22"/>
          <w:szCs w:val="28"/>
          <w:lang w:val="ru-RU"/>
        </w:rPr>
        <w:t xml:space="preserve">Никонорова Е.В. </w:t>
      </w:r>
      <w:r w:rsidR="005B08BD" w:rsidRPr="00C75088">
        <w:rPr>
          <w:rFonts w:ascii="Times New Roman" w:hAnsi="Times New Roman"/>
          <w:sz w:val="22"/>
          <w:szCs w:val="28"/>
          <w:lang w:val="ru-RU"/>
        </w:rPr>
        <w:t>Концептуализация постнеклассических</w:t>
      </w:r>
      <w:r w:rsidR="00EF4EB6" w:rsidRPr="00C75088">
        <w:rPr>
          <w:rFonts w:ascii="Times New Roman" w:hAnsi="Times New Roman"/>
          <w:sz w:val="22"/>
          <w:szCs w:val="28"/>
          <w:lang w:val="ru-RU"/>
        </w:rPr>
        <w:t xml:space="preserve"> </w:t>
      </w:r>
      <w:r w:rsidR="005B08BD" w:rsidRPr="00C75088">
        <w:rPr>
          <w:rFonts w:ascii="Times New Roman" w:hAnsi="Times New Roman"/>
          <w:sz w:val="22"/>
          <w:szCs w:val="28"/>
          <w:lang w:val="ru-RU"/>
        </w:rPr>
        <w:t>практик в современных библиотечных исследованиях // Постнеклассические практики: опыт концептуализации: коллективная монография.</w:t>
      </w:r>
      <w:r w:rsidR="00904462" w:rsidRPr="00C75088">
        <w:rPr>
          <w:rFonts w:ascii="Times New Roman" w:hAnsi="Times New Roman"/>
          <w:sz w:val="22"/>
          <w:szCs w:val="28"/>
          <w:lang w:val="ru-RU"/>
        </w:rPr>
        <w:t xml:space="preserve"> –</w:t>
      </w:r>
      <w:r w:rsidR="00EF4EB6" w:rsidRPr="00C75088">
        <w:rPr>
          <w:rFonts w:ascii="Times New Roman" w:hAnsi="Times New Roman"/>
          <w:sz w:val="22"/>
          <w:szCs w:val="28"/>
          <w:lang w:val="ru-RU"/>
        </w:rPr>
        <w:t xml:space="preserve"> </w:t>
      </w:r>
      <w:r w:rsidR="005B08BD" w:rsidRPr="00C75088">
        <w:rPr>
          <w:rFonts w:ascii="Times New Roman" w:hAnsi="Times New Roman"/>
          <w:sz w:val="22"/>
          <w:szCs w:val="28"/>
          <w:lang w:val="ru-RU"/>
        </w:rPr>
        <w:t>С</w:t>
      </w:r>
      <w:r w:rsidR="000D4AB4" w:rsidRPr="00C75088">
        <w:rPr>
          <w:rFonts w:ascii="Times New Roman" w:hAnsi="Times New Roman"/>
          <w:sz w:val="22"/>
          <w:szCs w:val="28"/>
          <w:lang w:val="ru-RU"/>
        </w:rPr>
        <w:t>П</w:t>
      </w:r>
      <w:r w:rsidR="00904462" w:rsidRPr="00C75088">
        <w:rPr>
          <w:rFonts w:ascii="Times New Roman" w:hAnsi="Times New Roman"/>
          <w:sz w:val="22"/>
          <w:szCs w:val="28"/>
          <w:lang w:val="ru-RU"/>
        </w:rPr>
        <w:t>б</w:t>
      </w:r>
      <w:r w:rsidR="005B08BD" w:rsidRPr="0052001E">
        <w:rPr>
          <w:rFonts w:ascii="Times New Roman" w:hAnsi="Times New Roman"/>
          <w:sz w:val="22"/>
          <w:szCs w:val="28"/>
          <w:lang w:val="ru-RU"/>
        </w:rPr>
        <w:t xml:space="preserve">: </w:t>
      </w:r>
      <w:r w:rsidR="005B08BD" w:rsidRPr="00C75088">
        <w:rPr>
          <w:rFonts w:ascii="Times New Roman" w:hAnsi="Times New Roman"/>
          <w:sz w:val="22"/>
          <w:szCs w:val="28"/>
          <w:lang w:val="ru-RU"/>
        </w:rPr>
        <w:t>Изд</w:t>
      </w:r>
      <w:r w:rsidR="00904462" w:rsidRPr="00C75088">
        <w:rPr>
          <w:rFonts w:ascii="Times New Roman" w:hAnsi="Times New Roman"/>
          <w:sz w:val="22"/>
          <w:szCs w:val="28"/>
          <w:lang w:val="ru-RU"/>
        </w:rPr>
        <w:t>.</w:t>
      </w:r>
      <w:r w:rsidR="005B08BD" w:rsidRPr="0052001E">
        <w:rPr>
          <w:rFonts w:ascii="Times New Roman" w:hAnsi="Times New Roman"/>
          <w:sz w:val="22"/>
          <w:szCs w:val="28"/>
          <w:lang w:val="ru-RU"/>
        </w:rPr>
        <w:t xml:space="preserve"> </w:t>
      </w:r>
      <w:r w:rsidR="005B08BD" w:rsidRPr="00C75088">
        <w:rPr>
          <w:rFonts w:ascii="Times New Roman" w:hAnsi="Times New Roman"/>
          <w:sz w:val="22"/>
          <w:szCs w:val="28"/>
          <w:lang w:val="ru-RU"/>
        </w:rPr>
        <w:t>дом</w:t>
      </w:r>
      <w:r w:rsidR="005B08BD" w:rsidRPr="0052001E">
        <w:rPr>
          <w:rFonts w:ascii="Times New Roman" w:hAnsi="Times New Roman"/>
          <w:sz w:val="22"/>
          <w:szCs w:val="28"/>
          <w:lang w:val="ru-RU"/>
        </w:rPr>
        <w:t xml:space="preserve"> «</w:t>
      </w:r>
      <w:r w:rsidR="005B08BD" w:rsidRPr="00C75088">
        <w:rPr>
          <w:rFonts w:ascii="Times New Roman" w:hAnsi="Times New Roman"/>
          <w:sz w:val="22"/>
          <w:szCs w:val="28"/>
          <w:lang w:val="ru-RU"/>
        </w:rPr>
        <w:t>М</w:t>
      </w:r>
      <w:r w:rsidR="005B08BD" w:rsidRPr="0052001E">
        <w:rPr>
          <w:rFonts w:ascii="Times New Roman" w:hAnsi="Times New Roman"/>
          <w:sz w:val="22"/>
          <w:szCs w:val="28"/>
          <w:lang w:val="en-US"/>
        </w:rPr>
        <w:t>i</w:t>
      </w:r>
      <w:r w:rsidR="000D4AB4" w:rsidRPr="00C75088">
        <w:rPr>
          <w:rFonts w:ascii="Times New Roman" w:hAnsi="Times New Roman"/>
          <w:sz w:val="22"/>
          <w:szCs w:val="28"/>
          <w:lang w:val="ru-RU"/>
        </w:rPr>
        <w:t>ръ</w:t>
      </w:r>
      <w:r w:rsidR="000D4AB4" w:rsidRPr="0052001E">
        <w:rPr>
          <w:rFonts w:ascii="Times New Roman" w:hAnsi="Times New Roman"/>
          <w:sz w:val="22"/>
          <w:szCs w:val="28"/>
          <w:lang w:val="ru-RU"/>
        </w:rPr>
        <w:t xml:space="preserve">», 2012. </w:t>
      </w:r>
      <w:r w:rsidR="00904462" w:rsidRPr="00C75088">
        <w:rPr>
          <w:rFonts w:ascii="Times New Roman" w:hAnsi="Times New Roman"/>
          <w:sz w:val="22"/>
          <w:szCs w:val="28"/>
          <w:lang w:val="ru-RU"/>
        </w:rPr>
        <w:t xml:space="preserve">– </w:t>
      </w:r>
      <w:r w:rsidR="000D4AB4" w:rsidRPr="00C75088">
        <w:rPr>
          <w:rFonts w:ascii="Times New Roman" w:hAnsi="Times New Roman"/>
          <w:sz w:val="22"/>
          <w:szCs w:val="28"/>
          <w:lang w:val="ru-RU"/>
        </w:rPr>
        <w:t>С</w:t>
      </w:r>
      <w:r w:rsidR="005B08BD" w:rsidRPr="0052001E">
        <w:rPr>
          <w:rFonts w:ascii="Times New Roman" w:hAnsi="Times New Roman"/>
          <w:sz w:val="22"/>
          <w:szCs w:val="28"/>
          <w:lang w:val="ru-RU"/>
        </w:rPr>
        <w:t>.</w:t>
      </w:r>
      <w:r w:rsidR="00904462" w:rsidRPr="0052001E">
        <w:rPr>
          <w:rFonts w:ascii="Times New Roman" w:hAnsi="Times New Roman"/>
          <w:sz w:val="22"/>
          <w:szCs w:val="28"/>
          <w:lang w:val="ru-RU"/>
        </w:rPr>
        <w:t xml:space="preserve"> </w:t>
      </w:r>
      <w:r w:rsidR="005B08BD" w:rsidRPr="0052001E">
        <w:rPr>
          <w:rFonts w:ascii="Times New Roman" w:hAnsi="Times New Roman"/>
          <w:sz w:val="22"/>
          <w:szCs w:val="28"/>
          <w:lang w:val="ru-RU"/>
        </w:rPr>
        <w:t>48</w:t>
      </w:r>
      <w:r w:rsidR="00EF4EB6" w:rsidRPr="0052001E">
        <w:rPr>
          <w:rFonts w:ascii="Times New Roman" w:hAnsi="Times New Roman"/>
          <w:sz w:val="22"/>
          <w:szCs w:val="28"/>
          <w:lang w:val="ru-RU"/>
        </w:rPr>
        <w:t>2</w:t>
      </w:r>
      <w:r w:rsidR="00904462" w:rsidRPr="00C75088">
        <w:rPr>
          <w:rFonts w:ascii="Times New Roman" w:hAnsi="Times New Roman"/>
          <w:sz w:val="22"/>
          <w:szCs w:val="28"/>
          <w:lang w:val="ru-RU"/>
        </w:rPr>
        <w:t>-</w:t>
      </w:r>
      <w:r w:rsidR="00EF4EB6" w:rsidRPr="0052001E">
        <w:rPr>
          <w:rFonts w:ascii="Times New Roman" w:hAnsi="Times New Roman"/>
          <w:sz w:val="22"/>
          <w:szCs w:val="28"/>
          <w:lang w:val="ru-RU"/>
        </w:rPr>
        <w:t>4</w:t>
      </w:r>
      <w:r w:rsidR="005B08BD" w:rsidRPr="0052001E">
        <w:rPr>
          <w:rFonts w:ascii="Times New Roman" w:hAnsi="Times New Roman"/>
          <w:sz w:val="22"/>
          <w:szCs w:val="28"/>
          <w:lang w:val="ru-RU"/>
        </w:rPr>
        <w:t>91.</w:t>
      </w:r>
      <w:bookmarkEnd w:id="11"/>
    </w:p>
    <w:p w:rsidR="00F20C62" w:rsidRPr="00904462" w:rsidRDefault="00F20C62" w:rsidP="00EA36B3">
      <w:pPr>
        <w:rPr>
          <w:sz w:val="22"/>
          <w:szCs w:val="24"/>
        </w:rPr>
      </w:pPr>
    </w:p>
    <w:p w:rsidR="00EA36B3" w:rsidRPr="00904462" w:rsidRDefault="00EA36B3" w:rsidP="00904462">
      <w:pPr>
        <w:jc w:val="center"/>
        <w:rPr>
          <w:i/>
          <w:sz w:val="22"/>
        </w:rPr>
      </w:pPr>
      <w:r w:rsidRPr="00904462">
        <w:rPr>
          <w:i/>
          <w:sz w:val="22"/>
        </w:rPr>
        <w:t>Сведения об авторе:</w:t>
      </w:r>
    </w:p>
    <w:p w:rsidR="00EA36B3" w:rsidRPr="00904462" w:rsidRDefault="00EA36B3" w:rsidP="00EA36B3">
      <w:pPr>
        <w:rPr>
          <w:rFonts w:eastAsiaTheme="minorHAnsi"/>
          <w:sz w:val="22"/>
        </w:rPr>
      </w:pPr>
      <w:r w:rsidRPr="00904462">
        <w:rPr>
          <w:sz w:val="22"/>
          <w:szCs w:val="24"/>
        </w:rPr>
        <w:t xml:space="preserve">Екатерина Васильевна Никонорова, </w:t>
      </w:r>
      <w:r w:rsidR="00904462" w:rsidRPr="00904462">
        <w:rPr>
          <w:rFonts w:eastAsiaTheme="minorHAnsi"/>
          <w:sz w:val="22"/>
        </w:rPr>
        <w:t>д.филос.</w:t>
      </w:r>
      <w:r w:rsidRPr="00904462">
        <w:rPr>
          <w:rFonts w:eastAsiaTheme="minorHAnsi"/>
          <w:sz w:val="22"/>
        </w:rPr>
        <w:t>н., проф.; профессор Института государственной службы и управления Российской академии народного хозяйства и государственной службы при Президенте Российской Федерации (</w:t>
      </w:r>
      <w:r w:rsidR="00904462" w:rsidRPr="00904462">
        <w:rPr>
          <w:rFonts w:eastAsiaTheme="minorHAnsi"/>
          <w:sz w:val="22"/>
        </w:rPr>
        <w:t xml:space="preserve">119571, Москва, </w:t>
      </w:r>
      <w:r w:rsidRPr="00904462">
        <w:rPr>
          <w:rFonts w:eastAsiaTheme="minorHAnsi"/>
          <w:sz w:val="22"/>
        </w:rPr>
        <w:t>Ве</w:t>
      </w:r>
      <w:r w:rsidR="00904462" w:rsidRPr="00904462">
        <w:rPr>
          <w:rFonts w:eastAsiaTheme="minorHAnsi"/>
          <w:sz w:val="22"/>
        </w:rPr>
        <w:t>рнадского просп., д. 82, стр. 1</w:t>
      </w:r>
      <w:r w:rsidRPr="00904462">
        <w:rPr>
          <w:rFonts w:eastAsiaTheme="minorHAnsi"/>
          <w:sz w:val="22"/>
        </w:rPr>
        <w:t>), зав</w:t>
      </w:r>
      <w:r w:rsidR="00904462" w:rsidRPr="00904462">
        <w:rPr>
          <w:rFonts w:eastAsiaTheme="minorHAnsi"/>
          <w:sz w:val="22"/>
        </w:rPr>
        <w:t>.</w:t>
      </w:r>
      <w:r w:rsidRPr="00904462">
        <w:rPr>
          <w:rFonts w:eastAsiaTheme="minorHAnsi"/>
          <w:sz w:val="22"/>
        </w:rPr>
        <w:t xml:space="preserve"> отделом периодических изданий Российской государственной библиотеки, гл</w:t>
      </w:r>
      <w:r w:rsidR="00904462" w:rsidRPr="00904462">
        <w:rPr>
          <w:rFonts w:eastAsiaTheme="minorHAnsi"/>
          <w:sz w:val="22"/>
        </w:rPr>
        <w:t>.</w:t>
      </w:r>
      <w:r w:rsidRPr="00904462">
        <w:rPr>
          <w:rFonts w:eastAsiaTheme="minorHAnsi"/>
          <w:sz w:val="22"/>
        </w:rPr>
        <w:t xml:space="preserve"> редактор журнала «Обсерватория культуры», 119019, г. Москва, ул. Воздвиженка, д. 3/5</w:t>
      </w:r>
      <w:r w:rsidR="00904462" w:rsidRPr="00904462">
        <w:rPr>
          <w:rFonts w:eastAsiaTheme="minorHAnsi"/>
          <w:sz w:val="22"/>
        </w:rPr>
        <w:t>;</w:t>
      </w:r>
      <w:r w:rsidRPr="00904462">
        <w:rPr>
          <w:rFonts w:eastAsiaTheme="minorHAnsi"/>
          <w:sz w:val="22"/>
        </w:rPr>
        <w:t xml:space="preserve"> тел</w:t>
      </w:r>
      <w:r w:rsidR="00904462" w:rsidRPr="00904462">
        <w:rPr>
          <w:rFonts w:eastAsiaTheme="minorHAnsi"/>
          <w:sz w:val="22"/>
        </w:rPr>
        <w:t>.</w:t>
      </w:r>
      <w:r w:rsidRPr="00904462">
        <w:rPr>
          <w:rFonts w:eastAsiaTheme="minorHAnsi"/>
          <w:sz w:val="22"/>
        </w:rPr>
        <w:t xml:space="preserve">: </w:t>
      </w:r>
      <w:r w:rsidR="00904462" w:rsidRPr="00904462">
        <w:rPr>
          <w:rFonts w:eastAsiaTheme="minorHAnsi"/>
          <w:sz w:val="22"/>
        </w:rPr>
        <w:t>8</w:t>
      </w:r>
      <w:r w:rsidRPr="00904462">
        <w:rPr>
          <w:rFonts w:eastAsiaTheme="minorHAnsi"/>
          <w:sz w:val="22"/>
        </w:rPr>
        <w:t xml:space="preserve"> (499) 557</w:t>
      </w:r>
      <w:r w:rsidR="00904462" w:rsidRPr="00904462">
        <w:rPr>
          <w:rFonts w:eastAsiaTheme="minorHAnsi"/>
          <w:sz w:val="22"/>
        </w:rPr>
        <w:t>-</w:t>
      </w:r>
      <w:r w:rsidRPr="00904462">
        <w:rPr>
          <w:rFonts w:eastAsiaTheme="minorHAnsi"/>
          <w:sz w:val="22"/>
        </w:rPr>
        <w:t>04</w:t>
      </w:r>
      <w:r w:rsidR="00904462" w:rsidRPr="00904462">
        <w:rPr>
          <w:rFonts w:eastAsiaTheme="minorHAnsi"/>
          <w:sz w:val="22"/>
        </w:rPr>
        <w:t>-</w:t>
      </w:r>
      <w:r w:rsidRPr="00904462">
        <w:rPr>
          <w:rFonts w:eastAsiaTheme="minorHAnsi"/>
          <w:sz w:val="22"/>
        </w:rPr>
        <w:t xml:space="preserve">70 доб. 1025; </w:t>
      </w:r>
      <w:r w:rsidRPr="00904462">
        <w:rPr>
          <w:rFonts w:eastAsiaTheme="minorHAnsi"/>
          <w:sz w:val="22"/>
          <w:lang w:val="en-US"/>
        </w:rPr>
        <w:t>e</w:t>
      </w:r>
      <w:r w:rsidRPr="00904462">
        <w:rPr>
          <w:rFonts w:eastAsiaTheme="minorHAnsi"/>
          <w:sz w:val="22"/>
        </w:rPr>
        <w:t>-</w:t>
      </w:r>
      <w:r w:rsidRPr="00904462">
        <w:rPr>
          <w:rFonts w:eastAsiaTheme="minorHAnsi"/>
          <w:sz w:val="22"/>
          <w:lang w:val="en-US"/>
        </w:rPr>
        <w:t>mail</w:t>
      </w:r>
      <w:r w:rsidRPr="00904462">
        <w:rPr>
          <w:rFonts w:eastAsiaTheme="minorHAnsi"/>
          <w:sz w:val="22"/>
        </w:rPr>
        <w:t xml:space="preserve">: </w:t>
      </w:r>
      <w:r w:rsidRPr="00904462">
        <w:rPr>
          <w:rFonts w:eastAsiaTheme="minorHAnsi"/>
          <w:sz w:val="22"/>
          <w:lang w:val="en-US"/>
        </w:rPr>
        <w:t>NikonorovaEV</w:t>
      </w:r>
      <w:r w:rsidRPr="00904462">
        <w:rPr>
          <w:rFonts w:eastAsiaTheme="minorHAnsi"/>
          <w:sz w:val="22"/>
        </w:rPr>
        <w:t>@</w:t>
      </w:r>
      <w:r w:rsidRPr="00904462">
        <w:rPr>
          <w:rFonts w:eastAsiaTheme="minorHAnsi"/>
          <w:sz w:val="22"/>
          <w:lang w:val="en-US"/>
        </w:rPr>
        <w:t>rsl</w:t>
      </w:r>
      <w:r w:rsidRPr="00904462">
        <w:rPr>
          <w:rFonts w:eastAsiaTheme="minorHAnsi"/>
          <w:sz w:val="22"/>
        </w:rPr>
        <w:t>.</w:t>
      </w:r>
      <w:r w:rsidRPr="00904462">
        <w:rPr>
          <w:rFonts w:eastAsiaTheme="minorHAnsi"/>
          <w:sz w:val="22"/>
          <w:lang w:val="en-US"/>
        </w:rPr>
        <w:t>ru</w:t>
      </w:r>
      <w:r w:rsidRPr="00904462">
        <w:rPr>
          <w:rFonts w:eastAsiaTheme="minorHAnsi"/>
          <w:sz w:val="22"/>
        </w:rPr>
        <w:t>.</w:t>
      </w:r>
    </w:p>
    <w:p w:rsidR="00EA36B3" w:rsidRDefault="00EA36B3" w:rsidP="00EA36B3">
      <w:pPr>
        <w:rPr>
          <w:szCs w:val="24"/>
        </w:rPr>
      </w:pPr>
    </w:p>
    <w:p w:rsidR="00EA36B3" w:rsidRDefault="00EA36B3" w:rsidP="00EA36B3">
      <w:pPr>
        <w:rPr>
          <w:szCs w:val="24"/>
        </w:rPr>
      </w:pPr>
    </w:p>
    <w:p w:rsidR="00F20C62" w:rsidRPr="00904462" w:rsidRDefault="00F20C62" w:rsidP="00EA36B3">
      <w:pPr>
        <w:rPr>
          <w:szCs w:val="24"/>
        </w:rPr>
      </w:pPr>
    </w:p>
    <w:sectPr w:rsidR="00F20C62" w:rsidRPr="00904462" w:rsidSect="00AE14C8">
      <w:footerReference w:type="default" r:id="rId10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17C" w:rsidRDefault="005A517C" w:rsidP="00883627">
      <w:r>
        <w:separator/>
      </w:r>
    </w:p>
  </w:endnote>
  <w:endnote w:type="continuationSeparator" w:id="1">
    <w:p w:rsidR="005A517C" w:rsidRDefault="005A517C" w:rsidP="00883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FC" w:rsidRPr="00EF4EB6" w:rsidRDefault="00471C34" w:rsidP="00EF4EB6">
    <w:pPr>
      <w:pStyle w:val="a9"/>
      <w:jc w:val="center"/>
    </w:pPr>
    <w:r>
      <w:fldChar w:fldCharType="begin"/>
    </w:r>
    <w:r w:rsidR="00EF4EB6">
      <w:instrText xml:space="preserve"> PAGE  \* Arabic  \* MERGEFORMAT </w:instrText>
    </w:r>
    <w:r>
      <w:fldChar w:fldCharType="separate"/>
    </w:r>
    <w:r w:rsidR="00FF462E">
      <w:rPr>
        <w:noProof/>
      </w:rPr>
      <w:t>7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17C" w:rsidRDefault="005A517C" w:rsidP="00883627">
      <w:r>
        <w:separator/>
      </w:r>
    </w:p>
  </w:footnote>
  <w:footnote w:type="continuationSeparator" w:id="1">
    <w:p w:rsidR="005A517C" w:rsidRDefault="005A517C" w:rsidP="00883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B66"/>
    <w:multiLevelType w:val="hybridMultilevel"/>
    <w:tmpl w:val="2DCAFC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723E7"/>
    <w:multiLevelType w:val="hybridMultilevel"/>
    <w:tmpl w:val="373E96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00443"/>
    <w:multiLevelType w:val="hybridMultilevel"/>
    <w:tmpl w:val="75500D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66206"/>
    <w:multiLevelType w:val="hybridMultilevel"/>
    <w:tmpl w:val="9F2E2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714AC"/>
    <w:multiLevelType w:val="hybridMultilevel"/>
    <w:tmpl w:val="5E88D9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AE724E8"/>
    <w:multiLevelType w:val="hybridMultilevel"/>
    <w:tmpl w:val="335CA182"/>
    <w:lvl w:ilvl="0" w:tplc="1C24D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1D71DC"/>
    <w:multiLevelType w:val="hybridMultilevel"/>
    <w:tmpl w:val="C69848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967CFC">
      <w:numFmt w:val="bullet"/>
      <w:lvlText w:val=""/>
      <w:lvlJc w:val="left"/>
      <w:pPr>
        <w:ind w:left="1440" w:hanging="360"/>
      </w:pPr>
      <w:rPr>
        <w:rFonts w:ascii="SymbolMT" w:eastAsia="SymbolMT" w:hAnsi="Cambria" w:cs="SymbolMT" w:hint="eastAsi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A241E"/>
    <w:multiLevelType w:val="hybridMultilevel"/>
    <w:tmpl w:val="B0C4D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F4C07"/>
    <w:multiLevelType w:val="hybridMultilevel"/>
    <w:tmpl w:val="DB3E9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70CD7"/>
    <w:multiLevelType w:val="hybridMultilevel"/>
    <w:tmpl w:val="82349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72CB1"/>
    <w:multiLevelType w:val="hybridMultilevel"/>
    <w:tmpl w:val="6396DC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BB68CC"/>
    <w:multiLevelType w:val="hybridMultilevel"/>
    <w:tmpl w:val="39E21C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B272AB"/>
    <w:multiLevelType w:val="hybridMultilevel"/>
    <w:tmpl w:val="A1DCF2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E14B3"/>
    <w:multiLevelType w:val="hybridMultilevel"/>
    <w:tmpl w:val="9964F7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17B2C"/>
    <w:multiLevelType w:val="hybridMultilevel"/>
    <w:tmpl w:val="16784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B2D61"/>
    <w:multiLevelType w:val="hybridMultilevel"/>
    <w:tmpl w:val="1B701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4"/>
  </w:num>
  <w:num w:numId="5">
    <w:abstractNumId w:val="15"/>
  </w:num>
  <w:num w:numId="6">
    <w:abstractNumId w:val="7"/>
  </w:num>
  <w:num w:numId="7">
    <w:abstractNumId w:val="12"/>
  </w:num>
  <w:num w:numId="8">
    <w:abstractNumId w:val="3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2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numFmt w:val="decimal"/>
    <w:endnote w:id="0"/>
    <w:endnote w:id="1"/>
  </w:endnotePr>
  <w:compat/>
  <w:rsids>
    <w:rsidRoot w:val="00883627"/>
    <w:rsid w:val="000B148A"/>
    <w:rsid w:val="000D4AB4"/>
    <w:rsid w:val="00102D4F"/>
    <w:rsid w:val="001248D4"/>
    <w:rsid w:val="001D45FE"/>
    <w:rsid w:val="001E7F72"/>
    <w:rsid w:val="0022186E"/>
    <w:rsid w:val="00222E35"/>
    <w:rsid w:val="00246AC0"/>
    <w:rsid w:val="002774F1"/>
    <w:rsid w:val="0034047B"/>
    <w:rsid w:val="003B1752"/>
    <w:rsid w:val="003B6C7D"/>
    <w:rsid w:val="004274B2"/>
    <w:rsid w:val="00432ABF"/>
    <w:rsid w:val="004447AB"/>
    <w:rsid w:val="00445EB7"/>
    <w:rsid w:val="00471C34"/>
    <w:rsid w:val="004D653C"/>
    <w:rsid w:val="0052001E"/>
    <w:rsid w:val="00576AE7"/>
    <w:rsid w:val="005A517C"/>
    <w:rsid w:val="005B08BD"/>
    <w:rsid w:val="005E42BB"/>
    <w:rsid w:val="006A05EC"/>
    <w:rsid w:val="007410EC"/>
    <w:rsid w:val="00764B4B"/>
    <w:rsid w:val="00776AA3"/>
    <w:rsid w:val="007873A9"/>
    <w:rsid w:val="007A62B4"/>
    <w:rsid w:val="00803970"/>
    <w:rsid w:val="00812E25"/>
    <w:rsid w:val="0084029C"/>
    <w:rsid w:val="00883627"/>
    <w:rsid w:val="008B0242"/>
    <w:rsid w:val="008C3E55"/>
    <w:rsid w:val="008E23C9"/>
    <w:rsid w:val="00904462"/>
    <w:rsid w:val="0090487F"/>
    <w:rsid w:val="0091412C"/>
    <w:rsid w:val="0096201D"/>
    <w:rsid w:val="009712BB"/>
    <w:rsid w:val="00A450D5"/>
    <w:rsid w:val="00AE14C8"/>
    <w:rsid w:val="00B04ADA"/>
    <w:rsid w:val="00B259BC"/>
    <w:rsid w:val="00B50909"/>
    <w:rsid w:val="00B60343"/>
    <w:rsid w:val="00BA0630"/>
    <w:rsid w:val="00C75088"/>
    <w:rsid w:val="00C84171"/>
    <w:rsid w:val="00CA38C3"/>
    <w:rsid w:val="00CA745E"/>
    <w:rsid w:val="00CC77F1"/>
    <w:rsid w:val="00D16C72"/>
    <w:rsid w:val="00D85475"/>
    <w:rsid w:val="00DD0C29"/>
    <w:rsid w:val="00DD6409"/>
    <w:rsid w:val="00DE5524"/>
    <w:rsid w:val="00DF55C9"/>
    <w:rsid w:val="00E569BA"/>
    <w:rsid w:val="00E610B5"/>
    <w:rsid w:val="00E64E29"/>
    <w:rsid w:val="00EA36B3"/>
    <w:rsid w:val="00EF4EB6"/>
    <w:rsid w:val="00F20C62"/>
    <w:rsid w:val="00F625ED"/>
    <w:rsid w:val="00F712F7"/>
    <w:rsid w:val="00F96EF8"/>
    <w:rsid w:val="00FD58A0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B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8362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8362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883627"/>
    <w:rPr>
      <w:vertAlign w:val="superscript"/>
    </w:rPr>
  </w:style>
  <w:style w:type="paragraph" w:styleId="a6">
    <w:name w:val="Normal (Web)"/>
    <w:basedOn w:val="a"/>
    <w:uiPriority w:val="99"/>
    <w:unhideWhenUsed/>
    <w:rsid w:val="00883627"/>
    <w:pPr>
      <w:spacing w:before="100" w:beforeAutospacing="1" w:after="100" w:afterAutospacing="1" w:line="360" w:lineRule="auto"/>
      <w:ind w:firstLine="720"/>
    </w:pPr>
    <w:rPr>
      <w:rFonts w:eastAsia="Times New Roman"/>
      <w:szCs w:val="28"/>
      <w:lang w:eastAsia="ru-RU"/>
    </w:rPr>
  </w:style>
  <w:style w:type="character" w:styleId="a7">
    <w:name w:val="Hyperlink"/>
    <w:basedOn w:val="a0"/>
    <w:uiPriority w:val="99"/>
    <w:unhideWhenUsed/>
    <w:rsid w:val="0088362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83627"/>
    <w:pPr>
      <w:ind w:left="720"/>
      <w:contextualSpacing/>
    </w:pPr>
    <w:rPr>
      <w:rFonts w:ascii="Helvetica" w:hAnsi="Helvetica"/>
      <w:lang w:val="en-GB"/>
    </w:rPr>
  </w:style>
  <w:style w:type="paragraph" w:styleId="a9">
    <w:name w:val="footer"/>
    <w:basedOn w:val="a"/>
    <w:link w:val="aa"/>
    <w:uiPriority w:val="99"/>
    <w:unhideWhenUsed/>
    <w:rsid w:val="008836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3627"/>
    <w:rPr>
      <w:rFonts w:ascii="Calibri" w:eastAsia="Calibri" w:hAnsi="Calibri" w:cs="Times New Roman"/>
    </w:rPr>
  </w:style>
  <w:style w:type="character" w:styleId="ab">
    <w:name w:val="FollowedHyperlink"/>
    <w:basedOn w:val="a0"/>
    <w:uiPriority w:val="99"/>
    <w:semiHidden/>
    <w:unhideWhenUsed/>
    <w:rsid w:val="00E569BA"/>
    <w:rPr>
      <w:color w:val="954F72" w:themeColor="followed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CA38C3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A38C3"/>
    <w:rPr>
      <w:rFonts w:ascii="Calibri" w:eastAsia="Calibri" w:hAnsi="Calibri" w:cs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A38C3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EF4EB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F4EB6"/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444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tainabledevelopment.un.org/owg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ulture2015goal.net/wp-content/uploads/Documents/Indicators_E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8D0A1-2439-4B3E-876B-59BEC655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3789</Words>
  <Characters>21601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Никонорова Екатерина Васильевна</dc:creator>
  <cp:lastModifiedBy>Evgeniy</cp:lastModifiedBy>
  <cp:revision>7</cp:revision>
  <cp:lastPrinted>2018-10-17T13:40:00Z</cp:lastPrinted>
  <dcterms:created xsi:type="dcterms:W3CDTF">2018-10-17T13:41:00Z</dcterms:created>
  <dcterms:modified xsi:type="dcterms:W3CDTF">2019-02-26T13:58:00Z</dcterms:modified>
</cp:coreProperties>
</file>